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00.xml" ContentType="application/vnd.openxmlformats-officedocument.wordprocessingml.footer+xml"/>
  <Override PartName="/word/footer101.xml" ContentType="application/vnd.openxmlformats-officedocument.wordprocessingml.footer+xml"/>
  <Override PartName="/word/footer102.xml" ContentType="application/vnd.openxmlformats-officedocument.wordprocessingml.footer+xml"/>
  <Override PartName="/word/footer103.xml" ContentType="application/vnd.openxmlformats-officedocument.wordprocessingml.footer+xml"/>
  <Override PartName="/word/footer104.xml" ContentType="application/vnd.openxmlformats-officedocument.wordprocessingml.footer+xml"/>
  <Override PartName="/word/footer105.xml" ContentType="application/vnd.openxmlformats-officedocument.wordprocessingml.footer+xml"/>
  <Override PartName="/word/footer106.xml" ContentType="application/vnd.openxmlformats-officedocument.wordprocessingml.footer+xml"/>
  <Override PartName="/word/footer107.xml" ContentType="application/vnd.openxmlformats-officedocument.wordprocessingml.footer+xml"/>
  <Override PartName="/word/footer108.xml" ContentType="application/vnd.openxmlformats-officedocument.wordprocessingml.footer+xml"/>
  <Override PartName="/word/footer109.xml" ContentType="application/vnd.openxmlformats-officedocument.wordprocessingml.footer+xml"/>
  <Override PartName="/word/footer11.xml" ContentType="application/vnd.openxmlformats-officedocument.wordprocessingml.footer+xml"/>
  <Override PartName="/word/footer110.xml" ContentType="application/vnd.openxmlformats-officedocument.wordprocessingml.footer+xml"/>
  <Override PartName="/word/footer1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oter35.xml" ContentType="application/vnd.openxmlformats-officedocument.wordprocessingml.foot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footer39.xml" ContentType="application/vnd.openxmlformats-officedocument.wordprocessingml.footer+xml"/>
  <Override PartName="/word/footer4.xml" ContentType="application/vnd.openxmlformats-officedocument.wordprocessingml.footer+xml"/>
  <Override PartName="/word/footer40.xml" ContentType="application/vnd.openxmlformats-officedocument.wordprocessingml.footer+xml"/>
  <Override PartName="/word/footer41.xml" ContentType="application/vnd.openxmlformats-officedocument.wordprocessingml.footer+xml"/>
  <Override PartName="/word/footer42.xml" ContentType="application/vnd.openxmlformats-officedocument.wordprocessingml.footer+xml"/>
  <Override PartName="/word/footer43.xml" ContentType="application/vnd.openxmlformats-officedocument.wordprocessingml.footer+xml"/>
  <Override PartName="/word/footer44.xml" ContentType="application/vnd.openxmlformats-officedocument.wordprocessingml.footer+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footer48.xml" ContentType="application/vnd.openxmlformats-officedocument.wordprocessingml.footer+xml"/>
  <Override PartName="/word/footer49.xml" ContentType="application/vnd.openxmlformats-officedocument.wordprocessingml.footer+xml"/>
  <Override PartName="/word/footer5.xml" ContentType="application/vnd.openxmlformats-officedocument.wordprocessingml.footer+xml"/>
  <Override PartName="/word/footer50.xml" ContentType="application/vnd.openxmlformats-officedocument.wordprocessingml.footer+xml"/>
  <Override PartName="/word/footer51.xml" ContentType="application/vnd.openxmlformats-officedocument.wordprocessingml.footer+xml"/>
  <Override PartName="/word/footer52.xml" ContentType="application/vnd.openxmlformats-officedocument.wordprocessingml.footer+xml"/>
  <Override PartName="/word/footer53.xml" ContentType="application/vnd.openxmlformats-officedocument.wordprocessingml.footer+xml"/>
  <Override PartName="/word/footer54.xml" ContentType="application/vnd.openxmlformats-officedocument.wordprocessingml.footer+xml"/>
  <Override PartName="/word/footer55.xml" ContentType="application/vnd.openxmlformats-officedocument.wordprocessingml.footer+xml"/>
  <Override PartName="/word/footer56.xml" ContentType="application/vnd.openxmlformats-officedocument.wordprocessingml.footer+xml"/>
  <Override PartName="/word/footer57.xml" ContentType="application/vnd.openxmlformats-officedocument.wordprocessingml.footer+xml"/>
  <Override PartName="/word/footer58.xml" ContentType="application/vnd.openxmlformats-officedocument.wordprocessingml.footer+xml"/>
  <Override PartName="/word/footer59.xml" ContentType="application/vnd.openxmlformats-officedocument.wordprocessingml.footer+xml"/>
  <Override PartName="/word/footer6.xml" ContentType="application/vnd.openxmlformats-officedocument.wordprocessingml.footer+xml"/>
  <Override PartName="/word/footer60.xml" ContentType="application/vnd.openxmlformats-officedocument.wordprocessingml.footer+xml"/>
  <Override PartName="/word/footer61.xml" ContentType="application/vnd.openxmlformats-officedocument.wordprocessingml.footer+xml"/>
  <Override PartName="/word/footer62.xml" ContentType="application/vnd.openxmlformats-officedocument.wordprocessingml.footer+xml"/>
  <Override PartName="/word/footer63.xml" ContentType="application/vnd.openxmlformats-officedocument.wordprocessingml.footer+xml"/>
  <Override PartName="/word/footer64.xml" ContentType="application/vnd.openxmlformats-officedocument.wordprocessingml.footer+xml"/>
  <Override PartName="/word/footer65.xml" ContentType="application/vnd.openxmlformats-officedocument.wordprocessingml.footer+xml"/>
  <Override PartName="/word/footer66.xml" ContentType="application/vnd.openxmlformats-officedocument.wordprocessingml.footer+xml"/>
  <Override PartName="/word/footer67.xml" ContentType="application/vnd.openxmlformats-officedocument.wordprocessingml.footer+xml"/>
  <Override PartName="/word/footer68.xml" ContentType="application/vnd.openxmlformats-officedocument.wordprocessingml.footer+xml"/>
  <Override PartName="/word/footer69.xml" ContentType="application/vnd.openxmlformats-officedocument.wordprocessingml.footer+xml"/>
  <Override PartName="/word/footer7.xml" ContentType="application/vnd.openxmlformats-officedocument.wordprocessingml.footer+xml"/>
  <Override PartName="/word/footer70.xml" ContentType="application/vnd.openxmlformats-officedocument.wordprocessingml.footer+xml"/>
  <Override PartName="/word/footer71.xml" ContentType="application/vnd.openxmlformats-officedocument.wordprocessingml.footer+xml"/>
  <Override PartName="/word/footer72.xml" ContentType="application/vnd.openxmlformats-officedocument.wordprocessingml.footer+xml"/>
  <Override PartName="/word/footer73.xml" ContentType="application/vnd.openxmlformats-officedocument.wordprocessingml.footer+xml"/>
  <Override PartName="/word/footer74.xml" ContentType="application/vnd.openxmlformats-officedocument.wordprocessingml.footer+xml"/>
  <Override PartName="/word/footer75.xml" ContentType="application/vnd.openxmlformats-officedocument.wordprocessingml.footer+xml"/>
  <Override PartName="/word/footer76.xml" ContentType="application/vnd.openxmlformats-officedocument.wordprocessingml.footer+xml"/>
  <Override PartName="/word/footer77.xml" ContentType="application/vnd.openxmlformats-officedocument.wordprocessingml.footer+xml"/>
  <Override PartName="/word/footer78.xml" ContentType="application/vnd.openxmlformats-officedocument.wordprocessingml.footer+xml"/>
  <Override PartName="/word/footer79.xml" ContentType="application/vnd.openxmlformats-officedocument.wordprocessingml.footer+xml"/>
  <Override PartName="/word/footer8.xml" ContentType="application/vnd.openxmlformats-officedocument.wordprocessingml.footer+xml"/>
  <Override PartName="/word/footer80.xml" ContentType="application/vnd.openxmlformats-officedocument.wordprocessingml.footer+xml"/>
  <Override PartName="/word/footer81.xml" ContentType="application/vnd.openxmlformats-officedocument.wordprocessingml.footer+xml"/>
  <Override PartName="/word/footer82.xml" ContentType="application/vnd.openxmlformats-officedocument.wordprocessingml.footer+xml"/>
  <Override PartName="/word/footer83.xml" ContentType="application/vnd.openxmlformats-officedocument.wordprocessingml.footer+xml"/>
  <Override PartName="/word/footer84.xml" ContentType="application/vnd.openxmlformats-officedocument.wordprocessingml.footer+xml"/>
  <Override PartName="/word/footer85.xml" ContentType="application/vnd.openxmlformats-officedocument.wordprocessingml.footer+xml"/>
  <Override PartName="/word/footer86.xml" ContentType="application/vnd.openxmlformats-officedocument.wordprocessingml.footer+xml"/>
  <Override PartName="/word/footer87.xml" ContentType="application/vnd.openxmlformats-officedocument.wordprocessingml.footer+xml"/>
  <Override PartName="/word/footer88.xml" ContentType="application/vnd.openxmlformats-officedocument.wordprocessingml.footer+xml"/>
  <Override PartName="/word/footer89.xml" ContentType="application/vnd.openxmlformats-officedocument.wordprocessingml.footer+xml"/>
  <Override PartName="/word/footer9.xml" ContentType="application/vnd.openxmlformats-officedocument.wordprocessingml.footer+xml"/>
  <Override PartName="/word/footer90.xml" ContentType="application/vnd.openxmlformats-officedocument.wordprocessingml.footer+xml"/>
  <Override PartName="/word/footer91.xml" ContentType="application/vnd.openxmlformats-officedocument.wordprocessingml.footer+xml"/>
  <Override PartName="/word/footer92.xml" ContentType="application/vnd.openxmlformats-officedocument.wordprocessingml.footer+xml"/>
  <Override PartName="/word/footer93.xml" ContentType="application/vnd.openxmlformats-officedocument.wordprocessingml.footer+xml"/>
  <Override PartName="/word/footer94.xml" ContentType="application/vnd.openxmlformats-officedocument.wordprocessingml.footer+xml"/>
  <Override PartName="/word/footer95.xml" ContentType="application/vnd.openxmlformats-officedocument.wordprocessingml.footer+xml"/>
  <Override PartName="/word/footer96.xml" ContentType="application/vnd.openxmlformats-officedocument.wordprocessingml.footer+xml"/>
  <Override PartName="/word/footer97.xml" ContentType="application/vnd.openxmlformats-officedocument.wordprocessingml.footer+xml"/>
  <Override PartName="/word/footer98.xml" ContentType="application/vnd.openxmlformats-officedocument.wordprocessingml.footer+xml"/>
  <Override PartName="/word/footer9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00.xml" ContentType="application/vnd.openxmlformats-officedocument.wordprocessingml.header+xml"/>
  <Override PartName="/word/header101.xml" ContentType="application/vnd.openxmlformats-officedocument.wordprocessingml.header+xml"/>
  <Override PartName="/word/header102.xml" ContentType="application/vnd.openxmlformats-officedocument.wordprocessingml.header+xml"/>
  <Override PartName="/word/header103.xml" ContentType="application/vnd.openxmlformats-officedocument.wordprocessingml.header+xml"/>
  <Override PartName="/word/header104.xml" ContentType="application/vnd.openxmlformats-officedocument.wordprocessingml.header+xml"/>
  <Override PartName="/word/header105.xml" ContentType="application/vnd.openxmlformats-officedocument.wordprocessingml.header+xml"/>
  <Override PartName="/word/header106.xml" ContentType="application/vnd.openxmlformats-officedocument.wordprocessingml.header+xml"/>
  <Override PartName="/word/header107.xml" ContentType="application/vnd.openxmlformats-officedocument.wordprocessingml.header+xml"/>
  <Override PartName="/word/header108.xml" ContentType="application/vnd.openxmlformats-officedocument.wordprocessingml.header+xml"/>
  <Override PartName="/word/header109.xml" ContentType="application/vnd.openxmlformats-officedocument.wordprocessingml.header+xml"/>
  <Override PartName="/word/header11.xml" ContentType="application/vnd.openxmlformats-officedocument.wordprocessingml.header+xml"/>
  <Override PartName="/word/header110.xml" ContentType="application/vnd.openxmlformats-officedocument.wordprocessingml.header+xml"/>
  <Override PartName="/word/header1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header4.xml" ContentType="application/vnd.openxmlformats-officedocument.wordprocessingml.head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header49.xml" ContentType="application/vnd.openxmlformats-officedocument.wordprocessingml.header+xml"/>
  <Override PartName="/word/header5.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header58.xml" ContentType="application/vnd.openxmlformats-officedocument.wordprocessingml.header+xml"/>
  <Override PartName="/word/header59.xml" ContentType="application/vnd.openxmlformats-officedocument.wordprocessingml.header+xml"/>
  <Override PartName="/word/header6.xml" ContentType="application/vnd.openxmlformats-officedocument.wordprocessingml.header+xml"/>
  <Override PartName="/word/header60.xml" ContentType="application/vnd.openxmlformats-officedocument.wordprocessingml.head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header7.xml" ContentType="application/vnd.openxmlformats-officedocument.wordprocessingml.head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header79.xml" ContentType="application/vnd.openxmlformats-officedocument.wordprocessingml.header+xml"/>
  <Override PartName="/word/header8.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header85.xml" ContentType="application/vnd.openxmlformats-officedocument.wordprocessingml.header+xml"/>
  <Override PartName="/word/header86.xml" ContentType="application/vnd.openxmlformats-officedocument.wordprocessingml.header+xml"/>
  <Override PartName="/word/header87.xml" ContentType="application/vnd.openxmlformats-officedocument.wordprocessingml.header+xml"/>
  <Override PartName="/word/header88.xml" ContentType="application/vnd.openxmlformats-officedocument.wordprocessingml.header+xml"/>
  <Override PartName="/word/header89.xml" ContentType="application/vnd.openxmlformats-officedocument.wordprocessingml.header+xml"/>
  <Override PartName="/word/header9.xml" ContentType="application/vnd.openxmlformats-officedocument.wordprocessingml.header+xml"/>
  <Override PartName="/word/header90.xml" ContentType="application/vnd.openxmlformats-officedocument.wordprocessingml.header+xml"/>
  <Override PartName="/word/header91.xml" ContentType="application/vnd.openxmlformats-officedocument.wordprocessingml.header+xml"/>
  <Override PartName="/word/header92.xml" ContentType="application/vnd.openxmlformats-officedocument.wordprocessingml.header+xml"/>
  <Override PartName="/word/header93.xml" ContentType="application/vnd.openxmlformats-officedocument.wordprocessingml.header+xml"/>
  <Override PartName="/word/header94.xml" ContentType="application/vnd.openxmlformats-officedocument.wordprocessingml.header+xml"/>
  <Override PartName="/word/header95.xml" ContentType="application/vnd.openxmlformats-officedocument.wordprocessingml.header+xml"/>
  <Override PartName="/word/header96.xml" ContentType="application/vnd.openxmlformats-officedocument.wordprocessingml.header+xml"/>
  <Override PartName="/word/header97.xml" ContentType="application/vnd.openxmlformats-officedocument.wordprocessingml.header+xml"/>
  <Override PartName="/word/header98.xml" ContentType="application/vnd.openxmlformats-officedocument.wordprocessingml.header+xml"/>
  <Override PartName="/word/header99.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NET 19.7 -->
  <w:body>
    <w:p w:rsidR="00BF70B5" w:rsidRPr="00CC687E" w:rsidP="00CC687E" w14:paraId="0CA2281F" w14:textId="3AB3E59D">
      <w:pPr>
        <w:pageBreakBefore/>
        <w:sectPr w:rsidSect="00CC687E">
          <w:type w:val="continuous"/>
          <w:pgSz w:w="11906" w:h="16838"/>
          <w:pgMar w:top="0" w:right="49" w:bottom="0" w:left="0" w:header="431" w:footer="431" w:gutter="0"/>
          <w:pgBorders w:zOrder="front" w:display="allPages" w:offsetFrom="text">
            <w:top w:val="nil"/>
            <w:left w:val="nil"/>
            <w:bottom w:val="nil"/>
            <w:right w:val="nil"/>
          </w:pgBorders>
          <w:cols w:space="720"/>
          <w:vAlign w:val="top"/>
          <w:titlePg w:val="0"/>
          <w:rtlGutter w:val="0"/>
          <w:docGrid w:linePitch="360"/>
        </w:sectPr>
      </w:pPr>
      <w:bookmarkStart w:id="0" w:name="RG_MARKER_6419"/>
      <w:bookmarkStart w:id="1" w:name="RG_MARKER_6581"/>
      <w:r>
        <w:rPr>
          <w:noProof/>
        </w:rPr>
        <w:drawing>
          <wp:inline distT="0" distB="0" distL="0" distR="0">
            <wp:extent cx="7753350" cy="10965810"/>
            <wp:effectExtent l="0" t="0" r="0" b="762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9954058" name="Picture 1"/>
                    <pic:cNvPicPr>
                      <a:picLocks noChangeAspect="1" noChangeArrowheads="1"/>
                    </pic:cNvPicPr>
                  </pic:nvPicPr>
                  <pic:blipFill>
                    <a:blip xmlns:r="http://schemas.openxmlformats.org/officeDocument/2006/relationships" r:embed="rId5"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7757315" cy="10971417"/>
                    </a:xfrm>
                    <a:prstGeom prst="rect">
                      <a:avLst/>
                    </a:prstGeom>
                    <a:noFill/>
                    <a:ln>
                      <a:noFill/>
                    </a:ln>
                  </pic:spPr>
                </pic:pic>
              </a:graphicData>
            </a:graphic>
          </wp:inline>
        </w:drawing>
      </w:r>
      <w:bookmarkEnd w:id="1"/>
      <w:bookmarkEnd w:id="0"/>
      <w:r>
        <w:t xml:space="preserve"> </w:t>
      </w:r>
    </w:p>
    <w:tbl>
      <w:tblPr>
        <w:tblStyle w:val="TableNormal"/>
        <w:tblW w:w="10624" w:type="dxa"/>
        <w:jc w:val="center"/>
        <w:tblLook w:val="04A0"/>
      </w:tblPr>
      <w:tblGrid>
        <w:gridCol w:w="4771"/>
        <w:gridCol w:w="1979"/>
        <w:gridCol w:w="84"/>
        <w:gridCol w:w="1911"/>
        <w:gridCol w:w="222"/>
        <w:gridCol w:w="203"/>
        <w:gridCol w:w="19"/>
        <w:gridCol w:w="202"/>
        <w:gridCol w:w="20"/>
        <w:gridCol w:w="202"/>
        <w:gridCol w:w="20"/>
        <w:gridCol w:w="202"/>
        <w:gridCol w:w="20"/>
        <w:gridCol w:w="201"/>
        <w:gridCol w:w="21"/>
        <w:gridCol w:w="1361"/>
        <w:gridCol w:w="6"/>
      </w:tblGrid>
      <w:tr w14:paraId="68A7E906" w14:textId="77777777" w:rsidTr="00B5720E">
        <w:tblPrEx>
          <w:tblW w:w="10624" w:type="dxa"/>
          <w:jc w:val="center"/>
          <w:tblLook w:val="04A0"/>
        </w:tblPrEx>
        <w:trPr>
          <w:cantSplit/>
          <w:trHeight w:val="435"/>
          <w:jc w:val="center"/>
        </w:trPr>
        <w:tc>
          <w:tcPr>
            <w:tcW w:w="10624" w:type="dxa"/>
            <w:gridSpan w:val="17"/>
            <w:tcBorders>
              <w:top w:val="nil"/>
              <w:left w:val="nil"/>
              <w:bottom w:val="nil"/>
              <w:right w:val="nil"/>
            </w:tcBorders>
            <w:shd w:val="clear" w:color="auto" w:fill="auto"/>
            <w:noWrap/>
            <w:hideMark/>
          </w:tcPr>
          <w:p w:rsidR="008B2210" w:rsidRPr="00A43EA1" w:rsidP="008B2210" w14:paraId="0EDA52D2" w14:textId="28CBAF74">
            <w:pPr>
              <w:keepNext/>
              <w:pageBreakBefore/>
              <w:spacing w:after="0" w:line="240" w:lineRule="auto"/>
              <w:jc w:val="left"/>
              <w:rPr>
                <w:rFonts w:ascii="Arial Narrow" w:eastAsia="Arial Narrow" w:hAnsi="Arial Narrow" w:cs="Arial Narrow"/>
                <w:b/>
                <w:bCs/>
                <w:color w:val="000000"/>
                <w:sz w:val="16"/>
                <w:szCs w:val="18"/>
              </w:rPr>
            </w:pPr>
            <w:r w:rsidRPr="00A43EA1">
              <w:rPr>
                <w:rFonts w:ascii="Arial Narrow" w:eastAsia="Arial Narrow" w:hAnsi="Arial Narrow" w:cs="Arial Narrow"/>
                <w:b/>
                <w:bCs/>
                <w:color w:val="000000"/>
                <w:sz w:val="16"/>
                <w:szCs w:val="18"/>
              </w:rPr>
              <w:t>SATURS</w:t>
            </w:r>
          </w:p>
        </w:tc>
      </w:tr>
      <w:tr w14:paraId="7CE77E96" w14:textId="77777777" w:rsidTr="00B5720E">
        <w:tblPrEx>
          <w:tblW w:w="10624" w:type="dxa"/>
          <w:jc w:val="center"/>
          <w:tblLook w:val="04A0"/>
        </w:tblPrEx>
        <w:trPr>
          <w:gridAfter w:val="1"/>
          <w:wAfter w:w="6" w:type="dxa"/>
          <w:cantSplit/>
          <w:trHeight w:val="435"/>
          <w:jc w:val="center"/>
        </w:trPr>
        <w:tc>
          <w:tcPr>
            <w:tcW w:w="4771" w:type="dxa"/>
            <w:tcBorders>
              <w:top w:val="nil"/>
              <w:left w:val="nil"/>
              <w:bottom w:val="nil"/>
              <w:right w:val="nil"/>
            </w:tcBorders>
            <w:shd w:val="clear" w:color="auto" w:fill="auto"/>
            <w:noWrap/>
            <w:hideMark/>
          </w:tcPr>
          <w:p w:rsidR="008B2210" w:rsidRPr="00A43EA1" w:rsidP="008B2210" w14:paraId="0CA387DD" w14:textId="77777777">
            <w:pPr>
              <w:keepNext/>
              <w:spacing w:after="0" w:line="240" w:lineRule="auto"/>
              <w:jc w:val="left"/>
              <w:rPr>
                <w:rFonts w:ascii="Arial Narrow" w:eastAsia="Arial Narrow" w:hAnsi="Arial Narrow" w:cs="Arial Narrow"/>
                <w:b/>
                <w:bCs/>
                <w:color w:val="000000"/>
                <w:sz w:val="16"/>
                <w:szCs w:val="16"/>
              </w:rPr>
            </w:pPr>
          </w:p>
        </w:tc>
        <w:tc>
          <w:tcPr>
            <w:tcW w:w="1979" w:type="dxa"/>
            <w:tcBorders>
              <w:top w:val="nil"/>
              <w:left w:val="nil"/>
              <w:bottom w:val="nil"/>
              <w:right w:val="nil"/>
            </w:tcBorders>
            <w:shd w:val="clear" w:color="auto" w:fill="auto"/>
            <w:noWrap/>
            <w:hideMark/>
          </w:tcPr>
          <w:p w:rsidR="008B2210" w:rsidRPr="00A43EA1" w:rsidP="008B2210" w14:paraId="789FE659" w14:textId="77777777">
            <w:pPr>
              <w:keepNext/>
              <w:spacing w:after="0" w:line="240" w:lineRule="auto"/>
              <w:jc w:val="left"/>
              <w:rPr>
                <w:rFonts w:ascii="Arial Narrow" w:eastAsia="Arial Narrow" w:hAnsi="Arial Narrow" w:cs="Arial Narrow"/>
                <w:sz w:val="16"/>
                <w:szCs w:val="16"/>
              </w:rPr>
            </w:pPr>
          </w:p>
        </w:tc>
        <w:tc>
          <w:tcPr>
            <w:tcW w:w="1995" w:type="dxa"/>
            <w:gridSpan w:val="2"/>
            <w:tcBorders>
              <w:top w:val="nil"/>
              <w:left w:val="nil"/>
              <w:bottom w:val="nil"/>
              <w:right w:val="nil"/>
            </w:tcBorders>
            <w:shd w:val="clear" w:color="auto" w:fill="auto"/>
            <w:noWrap/>
            <w:hideMark/>
          </w:tcPr>
          <w:p w:rsidR="008B2210" w:rsidRPr="00A43EA1" w:rsidP="008B2210" w14:paraId="2954E5F6" w14:textId="77777777">
            <w:pPr>
              <w:keepNext/>
              <w:spacing w:after="0" w:line="240" w:lineRule="auto"/>
              <w:jc w:val="left"/>
              <w:rPr>
                <w:rFonts w:ascii="Arial Narrow" w:eastAsia="Arial Narrow" w:hAnsi="Arial Narrow" w:cs="Arial Narrow"/>
                <w:sz w:val="16"/>
                <w:szCs w:val="16"/>
              </w:rPr>
            </w:pPr>
          </w:p>
        </w:tc>
        <w:tc>
          <w:tcPr>
            <w:tcW w:w="222" w:type="dxa"/>
            <w:tcBorders>
              <w:top w:val="nil"/>
              <w:left w:val="nil"/>
              <w:bottom w:val="nil"/>
              <w:right w:val="nil"/>
            </w:tcBorders>
            <w:shd w:val="clear" w:color="auto" w:fill="auto"/>
            <w:noWrap/>
            <w:hideMark/>
          </w:tcPr>
          <w:p w:rsidR="008B2210" w:rsidRPr="00A43EA1" w:rsidP="008B2210" w14:paraId="3906CB23"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8B2210" w:rsidRPr="00A43EA1" w:rsidP="008B2210" w14:paraId="54ABBD1A"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8B2210" w:rsidRPr="00A43EA1" w:rsidP="008B2210" w14:paraId="5B8281E9"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8B2210" w:rsidRPr="00A43EA1" w:rsidP="008B2210" w14:paraId="38BE9DF6"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8B2210" w:rsidRPr="00A43EA1" w:rsidP="008B2210" w14:paraId="03BEC9CD"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8B2210" w:rsidRPr="00A43EA1" w:rsidP="008B2210" w14:paraId="4950725F" w14:textId="77777777">
            <w:pPr>
              <w:keepNext/>
              <w:spacing w:after="0" w:line="240" w:lineRule="auto"/>
              <w:jc w:val="left"/>
              <w:rPr>
                <w:rFonts w:ascii="Arial Narrow" w:eastAsia="Arial Narrow" w:hAnsi="Arial Narrow" w:cs="Arial Narrow"/>
                <w:sz w:val="16"/>
                <w:szCs w:val="16"/>
              </w:rPr>
            </w:pPr>
          </w:p>
        </w:tc>
        <w:tc>
          <w:tcPr>
            <w:tcW w:w="541" w:type="dxa"/>
            <w:tcBorders>
              <w:top w:val="nil"/>
              <w:left w:val="nil"/>
              <w:bottom w:val="nil"/>
              <w:right w:val="nil"/>
            </w:tcBorders>
            <w:shd w:val="clear" w:color="auto" w:fill="auto"/>
            <w:noWrap/>
            <w:hideMark/>
          </w:tcPr>
          <w:p w:rsidR="008B2210" w:rsidRPr="00A43EA1" w:rsidP="008B2210" w14:paraId="2E40897E" w14:textId="77777777">
            <w:pPr>
              <w:keepNext/>
              <w:spacing w:after="0" w:line="240" w:lineRule="auto"/>
              <w:jc w:val="left"/>
              <w:rPr>
                <w:rFonts w:ascii="Arial Narrow" w:eastAsia="Arial Narrow" w:hAnsi="Arial Narrow" w:cs="Arial Narrow"/>
                <w:sz w:val="16"/>
                <w:szCs w:val="16"/>
              </w:rPr>
            </w:pPr>
          </w:p>
        </w:tc>
      </w:tr>
      <w:tr w14:paraId="1DB81A1A" w14:textId="77777777" w:rsidTr="00B5720E">
        <w:tblPrEx>
          <w:tblW w:w="10624" w:type="dxa"/>
          <w:jc w:val="center"/>
          <w:tblLook w:val="04A0"/>
        </w:tblPrEx>
        <w:trPr>
          <w:gridAfter w:val="1"/>
          <w:wAfter w:w="6" w:type="dxa"/>
          <w:cantSplit/>
          <w:trHeight w:val="435"/>
          <w:jc w:val="center"/>
        </w:trPr>
        <w:tc>
          <w:tcPr>
            <w:tcW w:w="4771" w:type="dxa"/>
            <w:tcBorders>
              <w:top w:val="nil"/>
              <w:left w:val="nil"/>
              <w:bottom w:val="nil"/>
              <w:right w:val="nil"/>
            </w:tcBorders>
            <w:shd w:val="clear" w:color="auto" w:fill="auto"/>
            <w:noWrap/>
            <w:hideMark/>
          </w:tcPr>
          <w:p w:rsidR="008B2210" w:rsidRPr="00A43EA1" w:rsidP="008B2210" w14:paraId="57F03C33" w14:textId="6B037823">
            <w:pPr>
              <w:keepNext/>
              <w:spacing w:after="0" w:line="240" w:lineRule="auto"/>
              <w:jc w:val="left"/>
              <w:rPr>
                <w:rFonts w:ascii="Arial Narrow" w:eastAsia="Arial Narrow" w:hAnsi="Arial Narrow" w:cs="Arial Narrow"/>
                <w:b/>
                <w:bCs/>
                <w:color w:val="000000"/>
                <w:sz w:val="16"/>
                <w:szCs w:val="16"/>
              </w:rPr>
            </w:pPr>
            <w:r w:rsidRPr="00A43EA1">
              <w:rPr>
                <w:rFonts w:ascii="Arial Narrow" w:eastAsia="Arial Narrow" w:hAnsi="Arial Narrow" w:cs="Arial Narrow"/>
                <w:b/>
                <w:bCs/>
                <w:color w:val="000000"/>
                <w:sz w:val="16"/>
                <w:szCs w:val="16"/>
              </w:rPr>
              <w:t>Vispārēja informācija</w:t>
            </w:r>
          </w:p>
        </w:tc>
        <w:tc>
          <w:tcPr>
            <w:tcW w:w="1979" w:type="dxa"/>
            <w:tcBorders>
              <w:top w:val="nil"/>
              <w:left w:val="nil"/>
              <w:bottom w:val="nil"/>
              <w:right w:val="nil"/>
            </w:tcBorders>
            <w:shd w:val="clear" w:color="auto" w:fill="auto"/>
            <w:noWrap/>
            <w:hideMark/>
          </w:tcPr>
          <w:p w:rsidR="008B2210" w:rsidRPr="00A43EA1" w:rsidP="008B2210" w14:paraId="3642462C" w14:textId="77777777">
            <w:pPr>
              <w:keepNext/>
              <w:spacing w:after="0" w:line="240" w:lineRule="auto"/>
              <w:jc w:val="left"/>
              <w:rPr>
                <w:rFonts w:ascii="Arial Narrow" w:eastAsia="Arial Narrow" w:hAnsi="Arial Narrow" w:cs="Arial Narrow"/>
                <w:b/>
                <w:bCs/>
                <w:color w:val="000000"/>
                <w:sz w:val="16"/>
                <w:szCs w:val="16"/>
              </w:rPr>
            </w:pPr>
          </w:p>
        </w:tc>
        <w:tc>
          <w:tcPr>
            <w:tcW w:w="1995" w:type="dxa"/>
            <w:gridSpan w:val="2"/>
            <w:tcBorders>
              <w:top w:val="nil"/>
              <w:left w:val="nil"/>
              <w:bottom w:val="nil"/>
              <w:right w:val="nil"/>
            </w:tcBorders>
            <w:shd w:val="clear" w:color="auto" w:fill="auto"/>
            <w:noWrap/>
            <w:hideMark/>
          </w:tcPr>
          <w:p w:rsidR="008B2210" w:rsidRPr="00A43EA1" w:rsidP="008B2210" w14:paraId="278AD110" w14:textId="77777777">
            <w:pPr>
              <w:keepNext/>
              <w:spacing w:after="0" w:line="240" w:lineRule="auto"/>
              <w:jc w:val="left"/>
              <w:rPr>
                <w:rFonts w:ascii="Arial Narrow" w:eastAsia="Arial Narrow" w:hAnsi="Arial Narrow" w:cs="Arial Narrow"/>
                <w:sz w:val="16"/>
                <w:szCs w:val="16"/>
              </w:rPr>
            </w:pPr>
          </w:p>
        </w:tc>
        <w:tc>
          <w:tcPr>
            <w:tcW w:w="222" w:type="dxa"/>
            <w:tcBorders>
              <w:top w:val="nil"/>
              <w:left w:val="nil"/>
              <w:bottom w:val="nil"/>
              <w:right w:val="nil"/>
            </w:tcBorders>
            <w:shd w:val="clear" w:color="auto" w:fill="auto"/>
            <w:noWrap/>
            <w:hideMark/>
          </w:tcPr>
          <w:p w:rsidR="008B2210" w:rsidRPr="00A43EA1" w:rsidP="008B2210" w14:paraId="13832CCE"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8B2210" w:rsidRPr="00A43EA1" w:rsidP="008B2210" w14:paraId="2A5A9415"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8B2210" w:rsidRPr="00A43EA1" w:rsidP="008B2210" w14:paraId="6FEFBAC6"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8B2210" w:rsidRPr="00A43EA1" w:rsidP="008B2210" w14:paraId="5ADD3344"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8B2210" w:rsidRPr="00A43EA1" w:rsidP="008B2210" w14:paraId="7304A2EC"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8B2210" w:rsidRPr="00A43EA1" w:rsidP="008B2210" w14:paraId="13EB352B" w14:textId="77777777">
            <w:pPr>
              <w:keepNext/>
              <w:spacing w:after="0" w:line="240" w:lineRule="auto"/>
              <w:jc w:val="left"/>
              <w:rPr>
                <w:rFonts w:ascii="Arial Narrow" w:eastAsia="Arial Narrow" w:hAnsi="Arial Narrow" w:cs="Arial Narrow"/>
                <w:sz w:val="16"/>
                <w:szCs w:val="16"/>
              </w:rPr>
            </w:pPr>
          </w:p>
        </w:tc>
        <w:tc>
          <w:tcPr>
            <w:tcW w:w="541" w:type="dxa"/>
            <w:tcBorders>
              <w:top w:val="nil"/>
              <w:left w:val="nil"/>
              <w:bottom w:val="nil"/>
              <w:right w:val="nil"/>
            </w:tcBorders>
            <w:shd w:val="clear" w:color="auto" w:fill="auto"/>
            <w:noWrap/>
            <w:hideMark/>
          </w:tcPr>
          <w:p w:rsidR="008B2210" w:rsidRPr="00A43EA1" w:rsidP="008B2210" w14:paraId="416368CB" w14:textId="0C326488">
            <w:pPr>
              <w:keepNext/>
              <w:spacing w:after="0" w:line="240" w:lineRule="auto"/>
              <w:jc w:val="left"/>
              <w:rPr>
                <w:rFonts w:ascii="Arial Narrow" w:eastAsia="Arial Narrow" w:hAnsi="Arial Narrow" w:cs="Arial Narrow"/>
                <w:b/>
                <w:bCs/>
                <w:color w:val="000000"/>
                <w:sz w:val="16"/>
                <w:szCs w:val="16"/>
              </w:rPr>
            </w:pPr>
            <w:r w:rsidRPr="005E1C5E">
              <w:rPr>
                <w:rFonts w:ascii="Arial Narrow" w:eastAsia="Arial Narrow" w:hAnsi="Arial Narrow" w:cs="Arial Narrow"/>
                <w:b/>
                <w:bCs/>
                <w:color w:val="000000"/>
                <w:sz w:val="16"/>
                <w:szCs w:val="16"/>
              </w:rPr>
              <w:t>3</w:t>
            </w:r>
          </w:p>
        </w:tc>
      </w:tr>
      <w:tr w14:paraId="415FA838" w14:textId="77777777" w:rsidTr="00B5720E">
        <w:tblPrEx>
          <w:tblW w:w="10624" w:type="dxa"/>
          <w:jc w:val="center"/>
          <w:tblLook w:val="04A0"/>
        </w:tblPrEx>
        <w:trPr>
          <w:gridAfter w:val="1"/>
          <w:wAfter w:w="6" w:type="dxa"/>
          <w:cantSplit/>
          <w:trHeight w:val="435"/>
          <w:jc w:val="center"/>
        </w:trPr>
        <w:tc>
          <w:tcPr>
            <w:tcW w:w="4771" w:type="dxa"/>
            <w:tcBorders>
              <w:top w:val="nil"/>
              <w:left w:val="nil"/>
              <w:bottom w:val="nil"/>
              <w:right w:val="nil"/>
            </w:tcBorders>
            <w:shd w:val="clear" w:color="auto" w:fill="auto"/>
            <w:noWrap/>
            <w:hideMark/>
          </w:tcPr>
          <w:p w:rsidR="00B5720E" w:rsidRPr="00A43EA1" w:rsidP="00B5720E" w14:paraId="3ACE0F91" w14:textId="742E166D">
            <w:pPr>
              <w:keepNext/>
              <w:spacing w:after="0" w:line="240" w:lineRule="auto"/>
              <w:jc w:val="left"/>
              <w:rPr>
                <w:rFonts w:ascii="Arial Narrow" w:eastAsia="Arial Narrow" w:hAnsi="Arial Narrow" w:cs="Arial Narrow"/>
                <w:b/>
                <w:bCs/>
                <w:color w:val="000000"/>
                <w:sz w:val="16"/>
                <w:szCs w:val="16"/>
              </w:rPr>
            </w:pPr>
            <w:r w:rsidRPr="00A43EA1">
              <w:rPr>
                <w:rFonts w:ascii="Arial Narrow" w:eastAsia="Arial Narrow" w:hAnsi="Arial Narrow" w:cs="Arial Narrow"/>
                <w:b/>
                <w:bCs/>
                <w:sz w:val="16"/>
                <w:szCs w:val="16"/>
              </w:rPr>
              <w:t>Vadības ziņojums</w:t>
            </w:r>
          </w:p>
        </w:tc>
        <w:tc>
          <w:tcPr>
            <w:tcW w:w="1979" w:type="dxa"/>
            <w:tcBorders>
              <w:top w:val="nil"/>
              <w:left w:val="nil"/>
              <w:bottom w:val="nil"/>
              <w:right w:val="nil"/>
            </w:tcBorders>
            <w:shd w:val="clear" w:color="auto" w:fill="auto"/>
            <w:noWrap/>
            <w:hideMark/>
          </w:tcPr>
          <w:p w:rsidR="00B5720E" w:rsidRPr="00A43EA1" w:rsidP="00B5720E" w14:paraId="0E380964" w14:textId="77777777">
            <w:pPr>
              <w:keepNext/>
              <w:spacing w:after="0" w:line="240" w:lineRule="auto"/>
              <w:jc w:val="left"/>
              <w:rPr>
                <w:rFonts w:ascii="Arial Narrow" w:eastAsia="Arial Narrow" w:hAnsi="Arial Narrow" w:cs="Arial Narrow"/>
                <w:b/>
                <w:bCs/>
                <w:color w:val="000000"/>
                <w:sz w:val="16"/>
                <w:szCs w:val="16"/>
              </w:rPr>
            </w:pPr>
          </w:p>
        </w:tc>
        <w:tc>
          <w:tcPr>
            <w:tcW w:w="1995" w:type="dxa"/>
            <w:gridSpan w:val="2"/>
            <w:tcBorders>
              <w:top w:val="nil"/>
              <w:left w:val="nil"/>
              <w:bottom w:val="nil"/>
              <w:right w:val="nil"/>
            </w:tcBorders>
            <w:shd w:val="clear" w:color="auto" w:fill="auto"/>
            <w:noWrap/>
            <w:hideMark/>
          </w:tcPr>
          <w:p w:rsidR="00B5720E" w:rsidRPr="00A43EA1" w:rsidP="00B5720E" w14:paraId="16CD0165" w14:textId="77777777">
            <w:pPr>
              <w:keepNext/>
              <w:spacing w:after="0" w:line="240" w:lineRule="auto"/>
              <w:jc w:val="left"/>
              <w:rPr>
                <w:rFonts w:ascii="Arial Narrow" w:eastAsia="Arial Narrow" w:hAnsi="Arial Narrow" w:cs="Arial Narrow"/>
                <w:sz w:val="16"/>
                <w:szCs w:val="16"/>
              </w:rPr>
            </w:pPr>
          </w:p>
        </w:tc>
        <w:tc>
          <w:tcPr>
            <w:tcW w:w="222" w:type="dxa"/>
            <w:tcBorders>
              <w:top w:val="nil"/>
              <w:left w:val="nil"/>
              <w:bottom w:val="nil"/>
              <w:right w:val="nil"/>
            </w:tcBorders>
            <w:shd w:val="clear" w:color="auto" w:fill="auto"/>
            <w:noWrap/>
            <w:hideMark/>
          </w:tcPr>
          <w:p w:rsidR="00B5720E" w:rsidRPr="00A43EA1" w:rsidP="00B5720E" w14:paraId="51BB3EC8"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17645640"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7F4D95AF"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5E7462DE"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3201C813"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09654A30" w14:textId="77777777">
            <w:pPr>
              <w:keepNext/>
              <w:spacing w:after="0" w:line="240" w:lineRule="auto"/>
              <w:jc w:val="left"/>
              <w:rPr>
                <w:rFonts w:ascii="Arial Narrow" w:eastAsia="Arial Narrow" w:hAnsi="Arial Narrow" w:cs="Arial Narrow"/>
                <w:sz w:val="16"/>
                <w:szCs w:val="16"/>
              </w:rPr>
            </w:pPr>
          </w:p>
        </w:tc>
        <w:tc>
          <w:tcPr>
            <w:tcW w:w="541" w:type="dxa"/>
            <w:tcBorders>
              <w:top w:val="nil"/>
              <w:left w:val="nil"/>
              <w:bottom w:val="nil"/>
              <w:right w:val="nil"/>
            </w:tcBorders>
            <w:shd w:val="clear" w:color="auto" w:fill="auto"/>
            <w:noWrap/>
            <w:hideMark/>
          </w:tcPr>
          <w:p w:rsidR="00B5720E" w:rsidRPr="00A43EA1" w:rsidP="00B5720E" w14:paraId="0DDBB948" w14:textId="527A8F00">
            <w:pPr>
              <w:keepNext/>
              <w:spacing w:after="0" w:line="240" w:lineRule="auto"/>
              <w:jc w:val="left"/>
              <w:rPr>
                <w:rFonts w:ascii="Arial Narrow" w:eastAsia="Arial Narrow" w:hAnsi="Arial Narrow" w:cs="Arial Narrow"/>
                <w:b/>
                <w:bCs/>
                <w:color w:val="000000"/>
                <w:sz w:val="16"/>
                <w:szCs w:val="16"/>
              </w:rPr>
            </w:pPr>
            <w:r w:rsidRPr="00250620">
              <w:rPr>
                <w:rFonts w:ascii="Arial Narrow" w:eastAsia="Arial Narrow" w:hAnsi="Arial Narrow" w:cs="Arial Narrow"/>
                <w:b/>
                <w:bCs/>
                <w:color w:val="000000"/>
                <w:sz w:val="16"/>
                <w:szCs w:val="16"/>
              </w:rPr>
              <w:t>4</w:t>
            </w:r>
          </w:p>
        </w:tc>
      </w:tr>
      <w:tr w14:paraId="18C2016E" w14:textId="77777777" w:rsidTr="00B5720E">
        <w:tblPrEx>
          <w:tblW w:w="10624" w:type="dxa"/>
          <w:jc w:val="center"/>
          <w:tblLook w:val="04A0"/>
        </w:tblPrEx>
        <w:trPr>
          <w:gridAfter w:val="1"/>
          <w:wAfter w:w="6" w:type="dxa"/>
          <w:cantSplit/>
          <w:trHeight w:val="435"/>
          <w:jc w:val="center"/>
        </w:trPr>
        <w:tc>
          <w:tcPr>
            <w:tcW w:w="6750" w:type="dxa"/>
            <w:gridSpan w:val="2"/>
            <w:tcBorders>
              <w:top w:val="nil"/>
              <w:left w:val="nil"/>
              <w:bottom w:val="nil"/>
              <w:right w:val="nil"/>
            </w:tcBorders>
            <w:shd w:val="clear" w:color="auto" w:fill="auto"/>
            <w:noWrap/>
            <w:hideMark/>
          </w:tcPr>
          <w:p w:rsidR="00B5720E" w:rsidRPr="00A43EA1" w:rsidP="00B5720E" w14:paraId="0DC53481" w14:textId="78F2A4CD">
            <w:pPr>
              <w:keepNext/>
              <w:spacing w:after="0" w:line="240" w:lineRule="auto"/>
              <w:jc w:val="left"/>
              <w:rPr>
                <w:rFonts w:ascii="Arial Narrow" w:eastAsia="Arial Narrow" w:hAnsi="Arial Narrow" w:cs="Arial Narrow"/>
                <w:b/>
                <w:bCs/>
                <w:color w:val="000000"/>
                <w:sz w:val="16"/>
                <w:szCs w:val="16"/>
              </w:rPr>
            </w:pPr>
            <w:r w:rsidRPr="00A43EA1">
              <w:rPr>
                <w:rFonts w:ascii="Arial Narrow" w:eastAsia="Arial Narrow" w:hAnsi="Arial Narrow" w:cs="Arial Narrow"/>
                <w:b/>
                <w:bCs/>
                <w:sz w:val="16"/>
                <w:szCs w:val="16"/>
              </w:rPr>
              <w:t>Paziņojums par vadības atbildību</w:t>
            </w:r>
          </w:p>
        </w:tc>
        <w:tc>
          <w:tcPr>
            <w:tcW w:w="1995" w:type="dxa"/>
            <w:gridSpan w:val="2"/>
            <w:tcBorders>
              <w:top w:val="nil"/>
              <w:left w:val="nil"/>
              <w:bottom w:val="nil"/>
              <w:right w:val="nil"/>
            </w:tcBorders>
            <w:shd w:val="clear" w:color="auto" w:fill="auto"/>
            <w:noWrap/>
            <w:hideMark/>
          </w:tcPr>
          <w:p w:rsidR="00B5720E" w:rsidRPr="00A43EA1" w:rsidP="00B5720E" w14:paraId="617BE944" w14:textId="77777777">
            <w:pPr>
              <w:keepNext/>
              <w:spacing w:after="0" w:line="240" w:lineRule="auto"/>
              <w:jc w:val="left"/>
              <w:rPr>
                <w:rFonts w:ascii="Arial Narrow" w:eastAsia="Arial Narrow" w:hAnsi="Arial Narrow" w:cs="Arial Narrow"/>
                <w:b/>
                <w:bCs/>
                <w:color w:val="000000"/>
                <w:sz w:val="16"/>
                <w:szCs w:val="16"/>
              </w:rPr>
            </w:pPr>
          </w:p>
        </w:tc>
        <w:tc>
          <w:tcPr>
            <w:tcW w:w="222" w:type="dxa"/>
            <w:tcBorders>
              <w:top w:val="nil"/>
              <w:left w:val="nil"/>
              <w:bottom w:val="nil"/>
              <w:right w:val="nil"/>
            </w:tcBorders>
            <w:shd w:val="clear" w:color="auto" w:fill="auto"/>
            <w:noWrap/>
            <w:hideMark/>
          </w:tcPr>
          <w:p w:rsidR="00B5720E" w:rsidRPr="00A43EA1" w:rsidP="00B5720E" w14:paraId="69B0BC94"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3C3F62AA"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66B8F8FC"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6134C498"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4066EE62"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47D40669" w14:textId="77777777">
            <w:pPr>
              <w:keepNext/>
              <w:spacing w:after="0" w:line="240" w:lineRule="auto"/>
              <w:jc w:val="left"/>
              <w:rPr>
                <w:rFonts w:ascii="Arial Narrow" w:eastAsia="Arial Narrow" w:hAnsi="Arial Narrow" w:cs="Arial Narrow"/>
                <w:sz w:val="16"/>
                <w:szCs w:val="16"/>
              </w:rPr>
            </w:pPr>
          </w:p>
        </w:tc>
        <w:tc>
          <w:tcPr>
            <w:tcW w:w="541" w:type="dxa"/>
            <w:tcBorders>
              <w:top w:val="nil"/>
              <w:left w:val="nil"/>
              <w:bottom w:val="nil"/>
              <w:right w:val="nil"/>
            </w:tcBorders>
            <w:shd w:val="clear" w:color="auto" w:fill="auto"/>
            <w:noWrap/>
            <w:hideMark/>
          </w:tcPr>
          <w:p w:rsidR="00B5720E" w:rsidRPr="00A43EA1" w:rsidP="00B5720E" w14:paraId="2C06B7B2" w14:textId="0B62201F">
            <w:pPr>
              <w:keepNext/>
              <w:spacing w:after="0" w:line="240" w:lineRule="auto"/>
              <w:jc w:val="left"/>
              <w:rPr>
                <w:rFonts w:ascii="Arial Narrow" w:eastAsia="Arial Narrow" w:hAnsi="Arial Narrow" w:cs="Arial Narrow"/>
                <w:b/>
                <w:bCs/>
                <w:color w:val="000000"/>
                <w:sz w:val="16"/>
                <w:szCs w:val="16"/>
              </w:rPr>
            </w:pPr>
            <w:r>
              <w:rPr>
                <w:rFonts w:ascii="Arial Narrow" w:eastAsia="Arial Narrow" w:hAnsi="Arial Narrow" w:cs="Arial Narrow"/>
                <w:b/>
                <w:bCs/>
                <w:color w:val="000000"/>
                <w:sz w:val="16"/>
                <w:szCs w:val="16"/>
              </w:rPr>
              <w:t>8</w:t>
            </w:r>
          </w:p>
        </w:tc>
      </w:tr>
      <w:tr w14:paraId="200802BE" w14:textId="77777777" w:rsidTr="00B5720E">
        <w:tblPrEx>
          <w:tblW w:w="10624" w:type="dxa"/>
          <w:jc w:val="center"/>
          <w:tblLook w:val="04A0"/>
        </w:tblPrEx>
        <w:trPr>
          <w:gridAfter w:val="1"/>
          <w:wAfter w:w="6" w:type="dxa"/>
          <w:cantSplit/>
          <w:trHeight w:val="435"/>
          <w:jc w:val="center"/>
        </w:trPr>
        <w:tc>
          <w:tcPr>
            <w:tcW w:w="6750" w:type="dxa"/>
            <w:gridSpan w:val="2"/>
            <w:tcBorders>
              <w:top w:val="nil"/>
              <w:left w:val="nil"/>
              <w:bottom w:val="nil"/>
              <w:right w:val="nil"/>
            </w:tcBorders>
            <w:shd w:val="clear" w:color="auto" w:fill="auto"/>
            <w:noWrap/>
            <w:hideMark/>
          </w:tcPr>
          <w:p w:rsidR="00B5720E" w:rsidRPr="00A43EA1" w:rsidP="00B5720E" w14:paraId="65BDA3AA" w14:textId="6C1D841C">
            <w:pPr>
              <w:keepNext/>
              <w:spacing w:after="0" w:line="240" w:lineRule="auto"/>
              <w:jc w:val="left"/>
              <w:rPr>
                <w:rFonts w:ascii="Arial Narrow" w:eastAsia="Arial Narrow" w:hAnsi="Arial Narrow" w:cs="Arial Narrow"/>
                <w:b/>
                <w:bCs/>
                <w:color w:val="000000"/>
                <w:sz w:val="16"/>
                <w:szCs w:val="16"/>
              </w:rPr>
            </w:pPr>
            <w:r w:rsidRPr="00A43EA1">
              <w:rPr>
                <w:rFonts w:ascii="Arial Narrow" w:eastAsia="Arial Narrow" w:hAnsi="Arial Narrow" w:cs="Arial Narrow"/>
                <w:b/>
                <w:bCs/>
                <w:sz w:val="16"/>
                <w:szCs w:val="16"/>
              </w:rPr>
              <w:t>Konsolidētais finanšu pārskats</w:t>
            </w:r>
          </w:p>
        </w:tc>
        <w:tc>
          <w:tcPr>
            <w:tcW w:w="1995" w:type="dxa"/>
            <w:gridSpan w:val="2"/>
            <w:tcBorders>
              <w:top w:val="nil"/>
              <w:left w:val="nil"/>
              <w:bottom w:val="nil"/>
              <w:right w:val="nil"/>
            </w:tcBorders>
            <w:shd w:val="clear" w:color="auto" w:fill="auto"/>
            <w:noWrap/>
            <w:hideMark/>
          </w:tcPr>
          <w:p w:rsidR="00B5720E" w:rsidRPr="00A43EA1" w:rsidP="00B5720E" w14:paraId="373C8E45" w14:textId="77777777">
            <w:pPr>
              <w:keepNext/>
              <w:spacing w:after="0" w:line="240" w:lineRule="auto"/>
              <w:jc w:val="left"/>
              <w:rPr>
                <w:rFonts w:ascii="Arial Narrow" w:eastAsia="Arial Narrow" w:hAnsi="Arial Narrow" w:cs="Arial Narrow"/>
                <w:b/>
                <w:bCs/>
                <w:color w:val="000000"/>
                <w:sz w:val="16"/>
                <w:szCs w:val="16"/>
              </w:rPr>
            </w:pPr>
          </w:p>
        </w:tc>
        <w:tc>
          <w:tcPr>
            <w:tcW w:w="222" w:type="dxa"/>
            <w:tcBorders>
              <w:top w:val="nil"/>
              <w:left w:val="nil"/>
              <w:bottom w:val="nil"/>
              <w:right w:val="nil"/>
            </w:tcBorders>
            <w:shd w:val="clear" w:color="auto" w:fill="auto"/>
            <w:noWrap/>
            <w:hideMark/>
          </w:tcPr>
          <w:p w:rsidR="00B5720E" w:rsidRPr="00A43EA1" w:rsidP="00B5720E" w14:paraId="292ABAEB"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675198A5"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4059D286"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50EE3DB0"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5EC16F10"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3DCEA8C1" w14:textId="77777777">
            <w:pPr>
              <w:keepNext/>
              <w:spacing w:after="0" w:line="240" w:lineRule="auto"/>
              <w:jc w:val="left"/>
              <w:rPr>
                <w:rFonts w:ascii="Arial Narrow" w:eastAsia="Arial Narrow" w:hAnsi="Arial Narrow" w:cs="Arial Narrow"/>
                <w:sz w:val="16"/>
                <w:szCs w:val="16"/>
              </w:rPr>
            </w:pPr>
          </w:p>
        </w:tc>
        <w:tc>
          <w:tcPr>
            <w:tcW w:w="541" w:type="dxa"/>
            <w:tcBorders>
              <w:top w:val="nil"/>
              <w:left w:val="nil"/>
              <w:bottom w:val="nil"/>
              <w:right w:val="nil"/>
            </w:tcBorders>
            <w:shd w:val="clear" w:color="auto" w:fill="auto"/>
            <w:noWrap/>
            <w:hideMark/>
          </w:tcPr>
          <w:p w:rsidR="00B5720E" w:rsidRPr="00A43EA1" w:rsidP="000641FA" w14:paraId="3C2CDC30" w14:textId="45313C55">
            <w:pPr>
              <w:keepNext/>
              <w:spacing w:after="0" w:line="240" w:lineRule="auto"/>
              <w:jc w:val="left"/>
              <w:rPr>
                <w:rFonts w:ascii="Arial Narrow" w:eastAsia="Arial Narrow" w:hAnsi="Arial Narrow" w:cs="Arial Narrow"/>
                <w:sz w:val="16"/>
                <w:szCs w:val="16"/>
              </w:rPr>
            </w:pPr>
            <w:r>
              <w:rPr>
                <w:rFonts w:ascii="Arial Narrow" w:eastAsia="Arial Narrow" w:hAnsi="Arial Narrow" w:cs="Arial Narrow"/>
                <w:b/>
                <w:bCs/>
                <w:color w:val="000000"/>
                <w:sz w:val="16"/>
                <w:szCs w:val="16"/>
              </w:rPr>
              <w:t>9</w:t>
            </w:r>
          </w:p>
        </w:tc>
      </w:tr>
      <w:tr w14:paraId="7CB20CF4" w14:textId="77777777" w:rsidTr="00B5720E">
        <w:tblPrEx>
          <w:tblW w:w="10624" w:type="dxa"/>
          <w:jc w:val="center"/>
          <w:tblLook w:val="04A0"/>
        </w:tblPrEx>
        <w:trPr>
          <w:cantSplit/>
          <w:trHeight w:val="435"/>
          <w:jc w:val="center"/>
        </w:trPr>
        <w:tc>
          <w:tcPr>
            <w:tcW w:w="6834" w:type="dxa"/>
            <w:gridSpan w:val="3"/>
            <w:tcBorders>
              <w:top w:val="nil"/>
              <w:left w:val="nil"/>
              <w:bottom w:val="nil"/>
              <w:right w:val="nil"/>
            </w:tcBorders>
            <w:shd w:val="clear" w:color="auto" w:fill="auto"/>
            <w:noWrap/>
            <w:hideMark/>
          </w:tcPr>
          <w:p w:rsidR="00B5720E" w:rsidRPr="00A43EA1" w:rsidP="00B5720E" w14:paraId="6E5DFCAD" w14:textId="22C3D81C">
            <w:pPr>
              <w:keepNext/>
              <w:spacing w:after="0" w:line="240" w:lineRule="auto"/>
              <w:jc w:val="left"/>
              <w:rPr>
                <w:rFonts w:ascii="Arial Narrow" w:eastAsia="Arial Narrow" w:hAnsi="Arial Narrow" w:cs="Arial Narrow"/>
                <w:b/>
                <w:bCs/>
                <w:color w:val="000000"/>
                <w:sz w:val="16"/>
                <w:szCs w:val="16"/>
              </w:rPr>
            </w:pPr>
            <w:r w:rsidRPr="00A43EA1">
              <w:rPr>
                <w:rFonts w:ascii="Arial Narrow" w:eastAsia="Arial Narrow" w:hAnsi="Arial Narrow" w:cs="Arial Narrow"/>
                <w:b/>
                <w:bCs/>
                <w:sz w:val="16"/>
                <w:szCs w:val="16"/>
              </w:rPr>
              <w:t xml:space="preserve">Konsolidētais peļņas vai </w:t>
            </w:r>
            <w:r w:rsidRPr="00A43EA1">
              <w:rPr>
                <w:rFonts w:ascii="Arial Narrow" w:eastAsia="Arial Narrow" w:hAnsi="Arial Narrow" w:cs="Arial Narrow"/>
                <w:b/>
                <w:bCs/>
                <w:sz w:val="16"/>
                <w:szCs w:val="16"/>
              </w:rPr>
              <w:t>zaudējumu aprēķins un pārējo apvienoto ienākumu pārskats</w:t>
            </w:r>
          </w:p>
        </w:tc>
        <w:tc>
          <w:tcPr>
            <w:tcW w:w="2336" w:type="dxa"/>
            <w:gridSpan w:val="3"/>
            <w:tcBorders>
              <w:top w:val="nil"/>
              <w:left w:val="nil"/>
              <w:bottom w:val="nil"/>
              <w:right w:val="nil"/>
            </w:tcBorders>
            <w:shd w:val="clear" w:color="auto" w:fill="auto"/>
            <w:noWrap/>
            <w:hideMark/>
          </w:tcPr>
          <w:p w:rsidR="00B5720E" w:rsidRPr="00A43EA1" w:rsidP="00B5720E" w14:paraId="26B367E5" w14:textId="77777777">
            <w:pPr>
              <w:keepNext/>
              <w:spacing w:after="0" w:line="240" w:lineRule="auto"/>
              <w:jc w:val="left"/>
              <w:rPr>
                <w:rFonts w:ascii="Arial Narrow" w:eastAsia="Arial Narrow" w:hAnsi="Arial Narrow" w:cs="Arial Narrow"/>
                <w:b/>
                <w:bCs/>
                <w:color w:val="000000"/>
                <w:sz w:val="16"/>
                <w:szCs w:val="16"/>
              </w:rPr>
            </w:pPr>
          </w:p>
        </w:tc>
        <w:tc>
          <w:tcPr>
            <w:tcW w:w="221" w:type="dxa"/>
            <w:gridSpan w:val="2"/>
            <w:tcBorders>
              <w:top w:val="nil"/>
              <w:left w:val="nil"/>
              <w:bottom w:val="nil"/>
              <w:right w:val="nil"/>
            </w:tcBorders>
            <w:shd w:val="clear" w:color="auto" w:fill="auto"/>
            <w:noWrap/>
            <w:hideMark/>
          </w:tcPr>
          <w:p w:rsidR="00B5720E" w:rsidRPr="00A43EA1" w:rsidP="00B5720E" w14:paraId="4BA57729"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25D937DD"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1940D634" w14:textId="77777777">
            <w:pPr>
              <w:keepNext/>
              <w:spacing w:after="0" w:line="240" w:lineRule="auto"/>
              <w:jc w:val="left"/>
              <w:rPr>
                <w:rFonts w:ascii="Arial Narrow" w:eastAsia="Arial Narrow" w:hAnsi="Arial Narrow" w:cs="Arial Narrow"/>
                <w:sz w:val="16"/>
                <w:szCs w:val="16"/>
              </w:rPr>
            </w:pPr>
          </w:p>
        </w:tc>
        <w:tc>
          <w:tcPr>
            <w:tcW w:w="221" w:type="dxa"/>
            <w:gridSpan w:val="2"/>
            <w:tcBorders>
              <w:top w:val="nil"/>
              <w:left w:val="nil"/>
              <w:bottom w:val="nil"/>
              <w:right w:val="nil"/>
            </w:tcBorders>
            <w:shd w:val="clear" w:color="auto" w:fill="auto"/>
            <w:noWrap/>
            <w:hideMark/>
          </w:tcPr>
          <w:p w:rsidR="00B5720E" w:rsidRPr="00A43EA1" w:rsidP="00B5720E" w14:paraId="67665637" w14:textId="77777777">
            <w:pPr>
              <w:keepNext/>
              <w:spacing w:after="0" w:line="240" w:lineRule="auto"/>
              <w:jc w:val="left"/>
              <w:rPr>
                <w:rFonts w:ascii="Arial Narrow" w:eastAsia="Arial Narrow" w:hAnsi="Arial Narrow" w:cs="Arial Narrow"/>
                <w:sz w:val="16"/>
                <w:szCs w:val="16"/>
              </w:rPr>
            </w:pPr>
          </w:p>
        </w:tc>
        <w:tc>
          <w:tcPr>
            <w:tcW w:w="568" w:type="dxa"/>
            <w:gridSpan w:val="3"/>
            <w:tcBorders>
              <w:top w:val="nil"/>
              <w:left w:val="nil"/>
              <w:bottom w:val="nil"/>
              <w:right w:val="nil"/>
            </w:tcBorders>
            <w:shd w:val="clear" w:color="auto" w:fill="auto"/>
            <w:noWrap/>
            <w:hideMark/>
          </w:tcPr>
          <w:p w:rsidR="00B5720E" w:rsidRPr="00A43EA1" w:rsidP="00B5720E" w14:paraId="5C066734" w14:textId="309ABF4B">
            <w:pPr>
              <w:keepNext/>
              <w:spacing w:after="0" w:line="240" w:lineRule="auto"/>
              <w:jc w:val="left"/>
              <w:rPr>
                <w:rFonts w:ascii="Arial Narrow" w:eastAsia="Arial Narrow" w:hAnsi="Arial Narrow" w:cs="Arial Narrow"/>
                <w:b/>
                <w:bCs/>
                <w:color w:val="000000"/>
                <w:sz w:val="16"/>
                <w:szCs w:val="16"/>
              </w:rPr>
            </w:pPr>
            <w:r>
              <w:rPr>
                <w:rFonts w:ascii="Arial Narrow" w:eastAsia="Arial Narrow" w:hAnsi="Arial Narrow" w:cs="Arial Narrow"/>
                <w:b/>
                <w:bCs/>
                <w:color w:val="000000"/>
                <w:sz w:val="16"/>
                <w:szCs w:val="16"/>
              </w:rPr>
              <w:t>9</w:t>
            </w:r>
          </w:p>
        </w:tc>
      </w:tr>
      <w:tr w14:paraId="7893481A" w14:textId="77777777" w:rsidTr="00B5720E">
        <w:tblPrEx>
          <w:tblW w:w="10624" w:type="dxa"/>
          <w:jc w:val="center"/>
          <w:tblLook w:val="04A0"/>
        </w:tblPrEx>
        <w:trPr>
          <w:gridAfter w:val="1"/>
          <w:wAfter w:w="6" w:type="dxa"/>
          <w:cantSplit/>
          <w:trHeight w:val="435"/>
          <w:jc w:val="center"/>
        </w:trPr>
        <w:tc>
          <w:tcPr>
            <w:tcW w:w="6750" w:type="dxa"/>
            <w:gridSpan w:val="2"/>
            <w:tcBorders>
              <w:top w:val="nil"/>
              <w:left w:val="nil"/>
              <w:bottom w:val="nil"/>
              <w:right w:val="nil"/>
            </w:tcBorders>
            <w:shd w:val="clear" w:color="auto" w:fill="auto"/>
            <w:noWrap/>
            <w:hideMark/>
          </w:tcPr>
          <w:p w:rsidR="00B5720E" w:rsidRPr="00A43EA1" w:rsidP="00B5720E" w14:paraId="55A7EF64" w14:textId="00A26B85">
            <w:pPr>
              <w:keepNext/>
              <w:spacing w:after="0" w:line="240" w:lineRule="auto"/>
              <w:jc w:val="left"/>
              <w:rPr>
                <w:rFonts w:ascii="Arial Narrow" w:eastAsia="Arial Narrow" w:hAnsi="Arial Narrow" w:cs="Arial Narrow"/>
                <w:b/>
                <w:bCs/>
                <w:color w:val="000000"/>
                <w:sz w:val="16"/>
                <w:szCs w:val="16"/>
              </w:rPr>
            </w:pPr>
            <w:r w:rsidRPr="00A43EA1">
              <w:rPr>
                <w:rFonts w:ascii="Arial Narrow" w:eastAsia="Arial Narrow" w:hAnsi="Arial Narrow" w:cs="Arial Narrow"/>
                <w:b/>
                <w:bCs/>
                <w:sz w:val="16"/>
                <w:szCs w:val="16"/>
              </w:rPr>
              <w:t>Konsolidētais finanšu stāvokļa pārskats</w:t>
            </w:r>
          </w:p>
        </w:tc>
        <w:tc>
          <w:tcPr>
            <w:tcW w:w="1995" w:type="dxa"/>
            <w:gridSpan w:val="2"/>
            <w:tcBorders>
              <w:top w:val="nil"/>
              <w:left w:val="nil"/>
              <w:bottom w:val="nil"/>
              <w:right w:val="nil"/>
            </w:tcBorders>
            <w:shd w:val="clear" w:color="auto" w:fill="auto"/>
            <w:noWrap/>
            <w:hideMark/>
          </w:tcPr>
          <w:p w:rsidR="00B5720E" w:rsidRPr="00A43EA1" w:rsidP="00B5720E" w14:paraId="2697A7D2" w14:textId="77777777">
            <w:pPr>
              <w:keepNext/>
              <w:spacing w:after="0" w:line="240" w:lineRule="auto"/>
              <w:jc w:val="left"/>
              <w:rPr>
                <w:rFonts w:ascii="Arial Narrow" w:eastAsia="Arial Narrow" w:hAnsi="Arial Narrow" w:cs="Arial Narrow"/>
                <w:b/>
                <w:bCs/>
                <w:color w:val="000000"/>
                <w:sz w:val="16"/>
                <w:szCs w:val="16"/>
              </w:rPr>
            </w:pPr>
          </w:p>
        </w:tc>
        <w:tc>
          <w:tcPr>
            <w:tcW w:w="222" w:type="dxa"/>
            <w:tcBorders>
              <w:top w:val="nil"/>
              <w:left w:val="nil"/>
              <w:bottom w:val="nil"/>
              <w:right w:val="nil"/>
            </w:tcBorders>
            <w:shd w:val="clear" w:color="auto" w:fill="auto"/>
            <w:noWrap/>
            <w:hideMark/>
          </w:tcPr>
          <w:p w:rsidR="00B5720E" w:rsidRPr="00A43EA1" w:rsidP="00B5720E" w14:paraId="230DEA9F"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67EEAC9A"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4A607DCA"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72C69329"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4708717F"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29F6FAAB" w14:textId="77777777">
            <w:pPr>
              <w:keepNext/>
              <w:spacing w:after="0" w:line="240" w:lineRule="auto"/>
              <w:jc w:val="left"/>
              <w:rPr>
                <w:rFonts w:ascii="Arial Narrow" w:eastAsia="Arial Narrow" w:hAnsi="Arial Narrow" w:cs="Arial Narrow"/>
                <w:sz w:val="16"/>
                <w:szCs w:val="16"/>
              </w:rPr>
            </w:pPr>
          </w:p>
        </w:tc>
        <w:tc>
          <w:tcPr>
            <w:tcW w:w="541" w:type="dxa"/>
            <w:tcBorders>
              <w:top w:val="nil"/>
              <w:left w:val="nil"/>
              <w:bottom w:val="nil"/>
              <w:right w:val="nil"/>
            </w:tcBorders>
            <w:shd w:val="clear" w:color="auto" w:fill="auto"/>
            <w:noWrap/>
            <w:hideMark/>
          </w:tcPr>
          <w:p w:rsidR="00B5720E" w:rsidRPr="00A43EA1" w:rsidP="00B5720E" w14:paraId="02FB2A52" w14:textId="55BBE2B4">
            <w:pPr>
              <w:keepNext/>
              <w:spacing w:after="0" w:line="240" w:lineRule="auto"/>
              <w:jc w:val="left"/>
              <w:rPr>
                <w:rFonts w:ascii="Arial Narrow" w:eastAsia="Arial Narrow" w:hAnsi="Arial Narrow" w:cs="Arial Narrow"/>
                <w:b/>
                <w:bCs/>
                <w:color w:val="000000"/>
                <w:sz w:val="16"/>
                <w:szCs w:val="16"/>
              </w:rPr>
            </w:pPr>
            <w:r>
              <w:rPr>
                <w:rFonts w:ascii="Arial Narrow" w:eastAsia="Arial Narrow" w:hAnsi="Arial Narrow" w:cs="Arial Narrow"/>
                <w:b/>
                <w:bCs/>
                <w:color w:val="000000"/>
                <w:sz w:val="16"/>
                <w:szCs w:val="16"/>
              </w:rPr>
              <w:t>10</w:t>
            </w:r>
          </w:p>
        </w:tc>
      </w:tr>
      <w:tr w14:paraId="23E54A2F" w14:textId="77777777" w:rsidTr="00B5720E">
        <w:tblPrEx>
          <w:tblW w:w="10624" w:type="dxa"/>
          <w:jc w:val="center"/>
          <w:tblLook w:val="04A0"/>
        </w:tblPrEx>
        <w:trPr>
          <w:gridAfter w:val="1"/>
          <w:wAfter w:w="6" w:type="dxa"/>
          <w:cantSplit/>
          <w:trHeight w:val="435"/>
          <w:jc w:val="center"/>
        </w:trPr>
        <w:tc>
          <w:tcPr>
            <w:tcW w:w="6750" w:type="dxa"/>
            <w:gridSpan w:val="2"/>
            <w:tcBorders>
              <w:top w:val="nil"/>
              <w:left w:val="nil"/>
              <w:bottom w:val="nil"/>
              <w:right w:val="nil"/>
            </w:tcBorders>
            <w:shd w:val="clear" w:color="auto" w:fill="auto"/>
            <w:noWrap/>
            <w:hideMark/>
          </w:tcPr>
          <w:p w:rsidR="00B5720E" w:rsidRPr="00A43EA1" w:rsidP="00B5720E" w14:paraId="4542161E" w14:textId="08EFBA43">
            <w:pPr>
              <w:keepNext/>
              <w:spacing w:after="0" w:line="240" w:lineRule="auto"/>
              <w:jc w:val="left"/>
              <w:rPr>
                <w:rFonts w:ascii="Arial Narrow" w:eastAsia="Arial Narrow" w:hAnsi="Arial Narrow" w:cs="Arial Narrow"/>
                <w:b/>
                <w:bCs/>
                <w:color w:val="000000"/>
                <w:sz w:val="16"/>
                <w:szCs w:val="16"/>
              </w:rPr>
            </w:pPr>
            <w:r w:rsidRPr="00A43EA1">
              <w:rPr>
                <w:rFonts w:ascii="Arial Narrow" w:eastAsia="Arial Narrow" w:hAnsi="Arial Narrow" w:cs="Arial Narrow"/>
                <w:b/>
                <w:bCs/>
                <w:sz w:val="16"/>
                <w:szCs w:val="16"/>
              </w:rPr>
              <w:t>Konsolidētais pašu kapitāla izmaiņu pārskats</w:t>
            </w:r>
          </w:p>
        </w:tc>
        <w:tc>
          <w:tcPr>
            <w:tcW w:w="1995" w:type="dxa"/>
            <w:gridSpan w:val="2"/>
            <w:tcBorders>
              <w:top w:val="nil"/>
              <w:left w:val="nil"/>
              <w:bottom w:val="nil"/>
              <w:right w:val="nil"/>
            </w:tcBorders>
            <w:shd w:val="clear" w:color="auto" w:fill="auto"/>
            <w:noWrap/>
            <w:hideMark/>
          </w:tcPr>
          <w:p w:rsidR="00B5720E" w:rsidRPr="00A43EA1" w:rsidP="00B5720E" w14:paraId="13575372" w14:textId="77777777">
            <w:pPr>
              <w:keepNext/>
              <w:spacing w:after="0" w:line="240" w:lineRule="auto"/>
              <w:jc w:val="left"/>
              <w:rPr>
                <w:rFonts w:ascii="Arial Narrow" w:eastAsia="Arial Narrow" w:hAnsi="Arial Narrow" w:cs="Arial Narrow"/>
                <w:b/>
                <w:bCs/>
                <w:color w:val="000000"/>
                <w:sz w:val="16"/>
                <w:szCs w:val="16"/>
              </w:rPr>
            </w:pPr>
          </w:p>
        </w:tc>
        <w:tc>
          <w:tcPr>
            <w:tcW w:w="222" w:type="dxa"/>
            <w:tcBorders>
              <w:top w:val="nil"/>
              <w:left w:val="nil"/>
              <w:bottom w:val="nil"/>
              <w:right w:val="nil"/>
            </w:tcBorders>
            <w:shd w:val="clear" w:color="auto" w:fill="auto"/>
            <w:noWrap/>
            <w:hideMark/>
          </w:tcPr>
          <w:p w:rsidR="00B5720E" w:rsidRPr="00A43EA1" w:rsidP="00B5720E" w14:paraId="1828E806"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7459FD14"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3B4ECC5F"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590325C3"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68CC8E17"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0A7409E9" w14:textId="77777777">
            <w:pPr>
              <w:keepNext/>
              <w:spacing w:after="0" w:line="240" w:lineRule="auto"/>
              <w:jc w:val="left"/>
              <w:rPr>
                <w:rFonts w:ascii="Arial Narrow" w:eastAsia="Arial Narrow" w:hAnsi="Arial Narrow" w:cs="Arial Narrow"/>
                <w:sz w:val="16"/>
                <w:szCs w:val="16"/>
              </w:rPr>
            </w:pPr>
          </w:p>
        </w:tc>
        <w:tc>
          <w:tcPr>
            <w:tcW w:w="541" w:type="dxa"/>
            <w:tcBorders>
              <w:top w:val="nil"/>
              <w:left w:val="nil"/>
              <w:bottom w:val="nil"/>
              <w:right w:val="nil"/>
            </w:tcBorders>
            <w:shd w:val="clear" w:color="auto" w:fill="auto"/>
            <w:noWrap/>
            <w:hideMark/>
          </w:tcPr>
          <w:p w:rsidR="00B5720E" w:rsidRPr="00A43EA1" w:rsidP="00B5720E" w14:paraId="20ACE54C" w14:textId="630B6ADA">
            <w:pPr>
              <w:keepNext/>
              <w:spacing w:after="0" w:line="240" w:lineRule="auto"/>
              <w:jc w:val="left"/>
              <w:rPr>
                <w:rFonts w:ascii="Arial Narrow" w:eastAsia="Arial Narrow" w:hAnsi="Arial Narrow" w:cs="Arial Narrow"/>
                <w:b/>
                <w:bCs/>
                <w:color w:val="000000"/>
                <w:sz w:val="16"/>
                <w:szCs w:val="16"/>
              </w:rPr>
            </w:pPr>
            <w:r>
              <w:rPr>
                <w:rFonts w:ascii="Arial Narrow" w:eastAsia="Arial Narrow" w:hAnsi="Arial Narrow" w:cs="Arial Narrow"/>
                <w:b/>
                <w:bCs/>
                <w:color w:val="000000"/>
                <w:sz w:val="16"/>
                <w:szCs w:val="16"/>
              </w:rPr>
              <w:t>12</w:t>
            </w:r>
          </w:p>
        </w:tc>
      </w:tr>
      <w:tr w14:paraId="58C75D58" w14:textId="77777777" w:rsidTr="00B5720E">
        <w:tblPrEx>
          <w:tblW w:w="10624" w:type="dxa"/>
          <w:jc w:val="center"/>
          <w:tblLook w:val="04A0"/>
        </w:tblPrEx>
        <w:trPr>
          <w:gridAfter w:val="1"/>
          <w:wAfter w:w="6" w:type="dxa"/>
          <w:cantSplit/>
          <w:trHeight w:val="435"/>
          <w:jc w:val="center"/>
        </w:trPr>
        <w:tc>
          <w:tcPr>
            <w:tcW w:w="6750" w:type="dxa"/>
            <w:gridSpan w:val="2"/>
            <w:tcBorders>
              <w:top w:val="nil"/>
              <w:left w:val="nil"/>
              <w:bottom w:val="nil"/>
              <w:right w:val="nil"/>
            </w:tcBorders>
            <w:shd w:val="clear" w:color="auto" w:fill="auto"/>
            <w:noWrap/>
            <w:hideMark/>
          </w:tcPr>
          <w:p w:rsidR="00B5720E" w:rsidRPr="00A43EA1" w:rsidP="00B5720E" w14:paraId="2E5BC20B" w14:textId="1A72064E">
            <w:pPr>
              <w:keepNext/>
              <w:spacing w:after="0" w:line="240" w:lineRule="auto"/>
              <w:jc w:val="left"/>
              <w:rPr>
                <w:rFonts w:ascii="Arial Narrow" w:eastAsia="Arial Narrow" w:hAnsi="Arial Narrow" w:cs="Arial Narrow"/>
                <w:b/>
                <w:bCs/>
                <w:color w:val="000000"/>
                <w:sz w:val="16"/>
                <w:szCs w:val="16"/>
              </w:rPr>
            </w:pPr>
            <w:r w:rsidRPr="00A43EA1">
              <w:rPr>
                <w:rFonts w:ascii="Arial Narrow" w:eastAsia="Arial Narrow" w:hAnsi="Arial Narrow" w:cs="Arial Narrow"/>
                <w:b/>
                <w:bCs/>
                <w:sz w:val="16"/>
                <w:szCs w:val="16"/>
              </w:rPr>
              <w:t>Konsolidētais naudas plūsmas pārskats</w:t>
            </w:r>
          </w:p>
        </w:tc>
        <w:tc>
          <w:tcPr>
            <w:tcW w:w="1995" w:type="dxa"/>
            <w:gridSpan w:val="2"/>
            <w:tcBorders>
              <w:top w:val="nil"/>
              <w:left w:val="nil"/>
              <w:bottom w:val="nil"/>
              <w:right w:val="nil"/>
            </w:tcBorders>
            <w:shd w:val="clear" w:color="auto" w:fill="auto"/>
            <w:noWrap/>
            <w:hideMark/>
          </w:tcPr>
          <w:p w:rsidR="00B5720E" w:rsidRPr="00A43EA1" w:rsidP="00B5720E" w14:paraId="112FF917" w14:textId="77777777">
            <w:pPr>
              <w:keepNext/>
              <w:spacing w:after="0" w:line="240" w:lineRule="auto"/>
              <w:jc w:val="left"/>
              <w:rPr>
                <w:rFonts w:ascii="Arial Narrow" w:eastAsia="Arial Narrow" w:hAnsi="Arial Narrow" w:cs="Arial Narrow"/>
                <w:b/>
                <w:bCs/>
                <w:color w:val="000000"/>
                <w:sz w:val="16"/>
                <w:szCs w:val="16"/>
              </w:rPr>
            </w:pPr>
          </w:p>
        </w:tc>
        <w:tc>
          <w:tcPr>
            <w:tcW w:w="222" w:type="dxa"/>
            <w:tcBorders>
              <w:top w:val="nil"/>
              <w:left w:val="nil"/>
              <w:bottom w:val="nil"/>
              <w:right w:val="nil"/>
            </w:tcBorders>
            <w:shd w:val="clear" w:color="auto" w:fill="auto"/>
            <w:noWrap/>
            <w:hideMark/>
          </w:tcPr>
          <w:p w:rsidR="00B5720E" w:rsidRPr="00A43EA1" w:rsidP="00B5720E" w14:paraId="787399B4"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05DC90FF"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79B32AD3"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697ED696"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41FB3519"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5D30DC8B" w14:textId="77777777">
            <w:pPr>
              <w:keepNext/>
              <w:spacing w:after="0" w:line="240" w:lineRule="auto"/>
              <w:jc w:val="left"/>
              <w:rPr>
                <w:rFonts w:ascii="Arial Narrow" w:eastAsia="Arial Narrow" w:hAnsi="Arial Narrow" w:cs="Arial Narrow"/>
                <w:sz w:val="16"/>
                <w:szCs w:val="16"/>
              </w:rPr>
            </w:pPr>
          </w:p>
        </w:tc>
        <w:tc>
          <w:tcPr>
            <w:tcW w:w="541" w:type="dxa"/>
            <w:tcBorders>
              <w:top w:val="nil"/>
              <w:left w:val="nil"/>
              <w:bottom w:val="nil"/>
              <w:right w:val="nil"/>
            </w:tcBorders>
            <w:shd w:val="clear" w:color="auto" w:fill="auto"/>
            <w:noWrap/>
            <w:hideMark/>
          </w:tcPr>
          <w:p w:rsidR="00B5720E" w:rsidRPr="00A43EA1" w:rsidP="00B5720E" w14:paraId="36899FE1" w14:textId="6C738FB3">
            <w:pPr>
              <w:keepNext/>
              <w:spacing w:after="0" w:line="240" w:lineRule="auto"/>
              <w:jc w:val="left"/>
              <w:rPr>
                <w:rFonts w:ascii="Arial Narrow" w:eastAsia="Arial Narrow" w:hAnsi="Arial Narrow" w:cs="Arial Narrow"/>
                <w:b/>
                <w:bCs/>
                <w:color w:val="000000"/>
                <w:sz w:val="16"/>
                <w:szCs w:val="16"/>
              </w:rPr>
            </w:pPr>
            <w:r>
              <w:rPr>
                <w:rFonts w:ascii="Arial Narrow" w:eastAsia="Arial Narrow" w:hAnsi="Arial Narrow" w:cs="Arial Narrow"/>
                <w:b/>
                <w:bCs/>
                <w:color w:val="000000"/>
                <w:sz w:val="16"/>
                <w:szCs w:val="16"/>
              </w:rPr>
              <w:t>13</w:t>
            </w:r>
          </w:p>
        </w:tc>
      </w:tr>
      <w:tr w14:paraId="05D00F38" w14:textId="77777777" w:rsidTr="00B5720E">
        <w:tblPrEx>
          <w:tblW w:w="10624" w:type="dxa"/>
          <w:jc w:val="center"/>
          <w:tblLook w:val="04A0"/>
        </w:tblPrEx>
        <w:trPr>
          <w:gridAfter w:val="1"/>
          <w:wAfter w:w="6" w:type="dxa"/>
          <w:cantSplit/>
          <w:trHeight w:val="435"/>
          <w:jc w:val="center"/>
        </w:trPr>
        <w:tc>
          <w:tcPr>
            <w:tcW w:w="6750" w:type="dxa"/>
            <w:gridSpan w:val="2"/>
            <w:tcBorders>
              <w:top w:val="nil"/>
              <w:left w:val="nil"/>
              <w:bottom w:val="nil"/>
              <w:right w:val="nil"/>
            </w:tcBorders>
            <w:shd w:val="clear" w:color="auto" w:fill="auto"/>
            <w:noWrap/>
            <w:hideMark/>
          </w:tcPr>
          <w:p w:rsidR="00B5720E" w:rsidRPr="00A43EA1" w:rsidP="00B5720E" w14:paraId="7354D44E" w14:textId="00498C3C">
            <w:pPr>
              <w:keepNext/>
              <w:spacing w:after="0" w:line="240" w:lineRule="auto"/>
              <w:jc w:val="left"/>
              <w:rPr>
                <w:rFonts w:ascii="Arial Narrow" w:eastAsia="Arial Narrow" w:hAnsi="Arial Narrow" w:cs="Arial Narrow"/>
                <w:b/>
                <w:bCs/>
                <w:color w:val="000000"/>
                <w:sz w:val="16"/>
                <w:szCs w:val="16"/>
              </w:rPr>
            </w:pPr>
            <w:r w:rsidRPr="00A43EA1">
              <w:rPr>
                <w:rFonts w:ascii="Arial Narrow" w:eastAsia="Arial Narrow" w:hAnsi="Arial Narrow" w:cs="Arial Narrow"/>
                <w:b/>
                <w:bCs/>
                <w:sz w:val="16"/>
                <w:szCs w:val="16"/>
              </w:rPr>
              <w:t>Konsolidētā finanšu pārskata pielikums</w:t>
            </w:r>
          </w:p>
        </w:tc>
        <w:tc>
          <w:tcPr>
            <w:tcW w:w="1995" w:type="dxa"/>
            <w:gridSpan w:val="2"/>
            <w:tcBorders>
              <w:top w:val="nil"/>
              <w:left w:val="nil"/>
              <w:bottom w:val="nil"/>
              <w:right w:val="nil"/>
            </w:tcBorders>
            <w:shd w:val="clear" w:color="auto" w:fill="auto"/>
            <w:noWrap/>
            <w:hideMark/>
          </w:tcPr>
          <w:p w:rsidR="00B5720E" w:rsidRPr="00A43EA1" w:rsidP="00B5720E" w14:paraId="18619E4A" w14:textId="77777777">
            <w:pPr>
              <w:keepNext/>
              <w:spacing w:after="0" w:line="240" w:lineRule="auto"/>
              <w:jc w:val="left"/>
              <w:rPr>
                <w:rFonts w:ascii="Arial Narrow" w:eastAsia="Arial Narrow" w:hAnsi="Arial Narrow" w:cs="Arial Narrow"/>
                <w:b/>
                <w:bCs/>
                <w:color w:val="000000"/>
                <w:sz w:val="16"/>
                <w:szCs w:val="16"/>
              </w:rPr>
            </w:pPr>
          </w:p>
        </w:tc>
        <w:tc>
          <w:tcPr>
            <w:tcW w:w="222" w:type="dxa"/>
            <w:tcBorders>
              <w:top w:val="nil"/>
              <w:left w:val="nil"/>
              <w:bottom w:val="nil"/>
              <w:right w:val="nil"/>
            </w:tcBorders>
            <w:shd w:val="clear" w:color="auto" w:fill="auto"/>
            <w:noWrap/>
            <w:hideMark/>
          </w:tcPr>
          <w:p w:rsidR="00B5720E" w:rsidRPr="00A43EA1" w:rsidP="00B5720E" w14:paraId="74022A5D"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12201571"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73E35A01"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7400BCEA"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5B5C5438"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0017C1E3" w14:textId="77777777">
            <w:pPr>
              <w:keepNext/>
              <w:spacing w:after="0" w:line="240" w:lineRule="auto"/>
              <w:jc w:val="left"/>
              <w:rPr>
                <w:rFonts w:ascii="Arial Narrow" w:eastAsia="Arial Narrow" w:hAnsi="Arial Narrow" w:cs="Arial Narrow"/>
                <w:sz w:val="16"/>
                <w:szCs w:val="16"/>
              </w:rPr>
            </w:pPr>
          </w:p>
        </w:tc>
        <w:tc>
          <w:tcPr>
            <w:tcW w:w="541" w:type="dxa"/>
            <w:tcBorders>
              <w:top w:val="nil"/>
              <w:left w:val="nil"/>
              <w:bottom w:val="nil"/>
              <w:right w:val="nil"/>
            </w:tcBorders>
            <w:shd w:val="clear" w:color="auto" w:fill="auto"/>
            <w:noWrap/>
            <w:hideMark/>
          </w:tcPr>
          <w:p w:rsidR="00B5720E" w:rsidRPr="00A43EA1" w:rsidP="00B5720E" w14:paraId="2A75D744" w14:textId="5CE922C9">
            <w:pPr>
              <w:keepNext/>
              <w:spacing w:after="0" w:line="240" w:lineRule="auto"/>
              <w:jc w:val="left"/>
              <w:rPr>
                <w:rFonts w:ascii="Arial Narrow" w:eastAsia="Arial Narrow" w:hAnsi="Arial Narrow" w:cs="Arial Narrow"/>
                <w:b/>
                <w:bCs/>
                <w:color w:val="000000"/>
                <w:sz w:val="16"/>
                <w:szCs w:val="16"/>
              </w:rPr>
            </w:pPr>
            <w:r>
              <w:rPr>
                <w:rFonts w:ascii="Arial Narrow" w:eastAsia="Arial Narrow" w:hAnsi="Arial Narrow" w:cs="Arial Narrow"/>
                <w:b/>
                <w:bCs/>
                <w:color w:val="000000"/>
                <w:sz w:val="16"/>
                <w:szCs w:val="16"/>
              </w:rPr>
              <w:t>14</w:t>
            </w:r>
          </w:p>
        </w:tc>
      </w:tr>
      <w:tr w14:paraId="083D0004" w14:textId="77777777" w:rsidTr="00B5720E">
        <w:tblPrEx>
          <w:tblW w:w="10624" w:type="dxa"/>
          <w:jc w:val="center"/>
          <w:tblLook w:val="04A0"/>
        </w:tblPrEx>
        <w:trPr>
          <w:gridAfter w:val="1"/>
          <w:wAfter w:w="6" w:type="dxa"/>
          <w:cantSplit/>
          <w:trHeight w:val="435"/>
          <w:jc w:val="center"/>
        </w:trPr>
        <w:tc>
          <w:tcPr>
            <w:tcW w:w="4771" w:type="dxa"/>
            <w:tcBorders>
              <w:top w:val="nil"/>
              <w:left w:val="nil"/>
              <w:bottom w:val="nil"/>
              <w:right w:val="nil"/>
            </w:tcBorders>
            <w:shd w:val="clear" w:color="auto" w:fill="auto"/>
            <w:noWrap/>
            <w:hideMark/>
          </w:tcPr>
          <w:p w:rsidR="00B5720E" w:rsidRPr="00A43EA1" w:rsidP="00B5720E" w14:paraId="19E48B59" w14:textId="77777777">
            <w:pPr>
              <w:keepNext/>
              <w:spacing w:after="0" w:line="240" w:lineRule="auto"/>
              <w:jc w:val="left"/>
              <w:rPr>
                <w:rFonts w:ascii="Arial Narrow" w:eastAsia="Arial Narrow" w:hAnsi="Arial Narrow" w:cs="Arial Narrow"/>
                <w:b/>
                <w:bCs/>
                <w:color w:val="000000"/>
                <w:sz w:val="16"/>
                <w:szCs w:val="16"/>
              </w:rPr>
            </w:pPr>
          </w:p>
        </w:tc>
        <w:tc>
          <w:tcPr>
            <w:tcW w:w="1979" w:type="dxa"/>
            <w:tcBorders>
              <w:top w:val="nil"/>
              <w:left w:val="nil"/>
              <w:bottom w:val="nil"/>
              <w:right w:val="nil"/>
            </w:tcBorders>
            <w:shd w:val="clear" w:color="auto" w:fill="auto"/>
            <w:noWrap/>
            <w:hideMark/>
          </w:tcPr>
          <w:p w:rsidR="00B5720E" w:rsidRPr="00A43EA1" w:rsidP="00B5720E" w14:paraId="6FC28B0E" w14:textId="77777777">
            <w:pPr>
              <w:keepNext/>
              <w:spacing w:after="0" w:line="240" w:lineRule="auto"/>
              <w:jc w:val="left"/>
              <w:rPr>
                <w:rFonts w:ascii="Arial Narrow" w:eastAsia="Arial Narrow" w:hAnsi="Arial Narrow" w:cs="Arial Narrow"/>
                <w:sz w:val="16"/>
                <w:szCs w:val="16"/>
              </w:rPr>
            </w:pPr>
          </w:p>
        </w:tc>
        <w:tc>
          <w:tcPr>
            <w:tcW w:w="1995" w:type="dxa"/>
            <w:gridSpan w:val="2"/>
            <w:tcBorders>
              <w:top w:val="nil"/>
              <w:left w:val="nil"/>
              <w:bottom w:val="nil"/>
              <w:right w:val="nil"/>
            </w:tcBorders>
            <w:shd w:val="clear" w:color="auto" w:fill="auto"/>
            <w:noWrap/>
            <w:hideMark/>
          </w:tcPr>
          <w:p w:rsidR="00B5720E" w:rsidRPr="00A43EA1" w:rsidP="00B5720E" w14:paraId="155D7AFF" w14:textId="77777777">
            <w:pPr>
              <w:keepNext/>
              <w:spacing w:after="0" w:line="240" w:lineRule="auto"/>
              <w:jc w:val="left"/>
              <w:rPr>
                <w:rFonts w:ascii="Arial Narrow" w:eastAsia="Arial Narrow" w:hAnsi="Arial Narrow" w:cs="Arial Narrow"/>
                <w:sz w:val="16"/>
                <w:szCs w:val="16"/>
              </w:rPr>
            </w:pPr>
          </w:p>
        </w:tc>
        <w:tc>
          <w:tcPr>
            <w:tcW w:w="222" w:type="dxa"/>
            <w:tcBorders>
              <w:top w:val="nil"/>
              <w:left w:val="nil"/>
              <w:bottom w:val="nil"/>
              <w:right w:val="nil"/>
            </w:tcBorders>
            <w:shd w:val="clear" w:color="auto" w:fill="auto"/>
            <w:noWrap/>
            <w:hideMark/>
          </w:tcPr>
          <w:p w:rsidR="00B5720E" w:rsidRPr="00A43EA1" w:rsidP="00B5720E" w14:paraId="3E44331F"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596A05BA"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536A85C3"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389A77D6"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18F41919"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67738B14" w14:textId="77777777">
            <w:pPr>
              <w:keepNext/>
              <w:spacing w:after="0" w:line="240" w:lineRule="auto"/>
              <w:jc w:val="left"/>
              <w:rPr>
                <w:rFonts w:ascii="Arial Narrow" w:eastAsia="Arial Narrow" w:hAnsi="Arial Narrow" w:cs="Arial Narrow"/>
                <w:sz w:val="16"/>
                <w:szCs w:val="16"/>
              </w:rPr>
            </w:pPr>
          </w:p>
        </w:tc>
        <w:tc>
          <w:tcPr>
            <w:tcW w:w="541" w:type="dxa"/>
            <w:tcBorders>
              <w:top w:val="nil"/>
              <w:left w:val="nil"/>
              <w:bottom w:val="nil"/>
              <w:right w:val="nil"/>
            </w:tcBorders>
            <w:shd w:val="clear" w:color="auto" w:fill="auto"/>
            <w:noWrap/>
            <w:hideMark/>
          </w:tcPr>
          <w:p w:rsidR="00B5720E" w:rsidRPr="00A43EA1" w:rsidP="00B5720E" w14:paraId="56AB648B" w14:textId="77777777">
            <w:pPr>
              <w:keepNext/>
              <w:spacing w:after="0" w:line="240" w:lineRule="auto"/>
              <w:jc w:val="left"/>
              <w:rPr>
                <w:rFonts w:ascii="Arial Narrow" w:eastAsia="Arial Narrow" w:hAnsi="Arial Narrow" w:cs="Arial Narrow"/>
                <w:sz w:val="16"/>
                <w:szCs w:val="16"/>
              </w:rPr>
            </w:pPr>
          </w:p>
        </w:tc>
      </w:tr>
      <w:tr w14:paraId="198C41B0" w14:textId="77777777" w:rsidTr="00B5720E">
        <w:tblPrEx>
          <w:tblW w:w="10624" w:type="dxa"/>
          <w:jc w:val="center"/>
          <w:tblLook w:val="04A0"/>
        </w:tblPrEx>
        <w:trPr>
          <w:gridAfter w:val="1"/>
          <w:wAfter w:w="6" w:type="dxa"/>
          <w:cantSplit/>
          <w:trHeight w:val="503"/>
          <w:jc w:val="center"/>
        </w:trPr>
        <w:tc>
          <w:tcPr>
            <w:tcW w:w="4771" w:type="dxa"/>
            <w:tcBorders>
              <w:top w:val="nil"/>
              <w:left w:val="nil"/>
              <w:bottom w:val="nil"/>
              <w:right w:val="nil"/>
            </w:tcBorders>
            <w:shd w:val="clear" w:color="auto" w:fill="auto"/>
            <w:noWrap/>
            <w:hideMark/>
          </w:tcPr>
          <w:p w:rsidR="00B5720E" w:rsidRPr="00A43EA1" w:rsidP="00B5720E" w14:paraId="273652ED" w14:textId="24BB43B5">
            <w:pPr>
              <w:keepNext/>
              <w:spacing w:after="0" w:line="240" w:lineRule="auto"/>
              <w:jc w:val="left"/>
              <w:rPr>
                <w:rFonts w:ascii="Arial Narrow" w:eastAsia="Arial Narrow" w:hAnsi="Arial Narrow" w:cs="Arial Narrow"/>
                <w:b/>
                <w:bCs/>
                <w:color w:val="000000"/>
                <w:sz w:val="16"/>
                <w:szCs w:val="16"/>
              </w:rPr>
            </w:pPr>
            <w:r w:rsidRPr="00A43EA1">
              <w:rPr>
                <w:rFonts w:ascii="Arial Narrow" w:eastAsia="Arial Narrow" w:hAnsi="Arial Narrow" w:cs="Arial Narrow"/>
                <w:b/>
                <w:bCs/>
                <w:sz w:val="16"/>
                <w:szCs w:val="16"/>
              </w:rPr>
              <w:t>Neatkarīgu revidentu ziņojums</w:t>
            </w:r>
          </w:p>
        </w:tc>
        <w:tc>
          <w:tcPr>
            <w:tcW w:w="1979" w:type="dxa"/>
            <w:tcBorders>
              <w:top w:val="nil"/>
              <w:left w:val="nil"/>
              <w:bottom w:val="nil"/>
              <w:right w:val="nil"/>
            </w:tcBorders>
            <w:shd w:val="clear" w:color="auto" w:fill="auto"/>
            <w:noWrap/>
            <w:hideMark/>
          </w:tcPr>
          <w:p w:rsidR="00B5720E" w:rsidRPr="00A43EA1" w:rsidP="00B5720E" w14:paraId="6A180DC9" w14:textId="77777777">
            <w:pPr>
              <w:keepNext/>
              <w:spacing w:after="0" w:line="240" w:lineRule="auto"/>
              <w:jc w:val="left"/>
              <w:rPr>
                <w:rFonts w:ascii="Arial Narrow" w:eastAsia="Arial Narrow" w:hAnsi="Arial Narrow" w:cs="Arial Narrow"/>
                <w:b/>
                <w:bCs/>
                <w:color w:val="000000"/>
                <w:sz w:val="16"/>
                <w:szCs w:val="16"/>
              </w:rPr>
            </w:pPr>
          </w:p>
        </w:tc>
        <w:tc>
          <w:tcPr>
            <w:tcW w:w="1995" w:type="dxa"/>
            <w:gridSpan w:val="2"/>
            <w:tcBorders>
              <w:top w:val="nil"/>
              <w:left w:val="nil"/>
              <w:bottom w:val="nil"/>
              <w:right w:val="nil"/>
            </w:tcBorders>
            <w:shd w:val="clear" w:color="auto" w:fill="auto"/>
            <w:noWrap/>
            <w:hideMark/>
          </w:tcPr>
          <w:p w:rsidR="00B5720E" w:rsidRPr="00A43EA1" w:rsidP="00B5720E" w14:paraId="37D5C0FF" w14:textId="77777777">
            <w:pPr>
              <w:keepNext/>
              <w:spacing w:after="0" w:line="240" w:lineRule="auto"/>
              <w:jc w:val="left"/>
              <w:rPr>
                <w:rFonts w:ascii="Arial Narrow" w:eastAsia="Arial Narrow" w:hAnsi="Arial Narrow" w:cs="Arial Narrow"/>
                <w:sz w:val="16"/>
                <w:szCs w:val="16"/>
              </w:rPr>
            </w:pPr>
          </w:p>
        </w:tc>
        <w:tc>
          <w:tcPr>
            <w:tcW w:w="222" w:type="dxa"/>
            <w:tcBorders>
              <w:top w:val="nil"/>
              <w:left w:val="nil"/>
              <w:bottom w:val="nil"/>
              <w:right w:val="nil"/>
            </w:tcBorders>
            <w:shd w:val="clear" w:color="auto" w:fill="auto"/>
            <w:noWrap/>
            <w:hideMark/>
          </w:tcPr>
          <w:p w:rsidR="00B5720E" w:rsidRPr="00A43EA1" w:rsidP="00B5720E" w14:paraId="1E59BC79"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73A02C85"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62D8DDDB"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34C3F7FF"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5D0DB884" w14:textId="77777777">
            <w:pPr>
              <w:keepNext/>
              <w:spacing w:after="0" w:line="240" w:lineRule="auto"/>
              <w:jc w:val="left"/>
              <w:rPr>
                <w:rFonts w:ascii="Arial Narrow" w:eastAsia="Arial Narrow" w:hAnsi="Arial Narrow" w:cs="Arial Narrow"/>
                <w:sz w:val="16"/>
                <w:szCs w:val="16"/>
              </w:rPr>
            </w:pPr>
          </w:p>
        </w:tc>
        <w:tc>
          <w:tcPr>
            <w:tcW w:w="222" w:type="dxa"/>
            <w:gridSpan w:val="2"/>
            <w:tcBorders>
              <w:top w:val="nil"/>
              <w:left w:val="nil"/>
              <w:bottom w:val="nil"/>
              <w:right w:val="nil"/>
            </w:tcBorders>
            <w:shd w:val="clear" w:color="auto" w:fill="auto"/>
            <w:noWrap/>
            <w:hideMark/>
          </w:tcPr>
          <w:p w:rsidR="00B5720E" w:rsidRPr="00A43EA1" w:rsidP="00B5720E" w14:paraId="726C99B5" w14:textId="77777777">
            <w:pPr>
              <w:keepNext/>
              <w:spacing w:after="0" w:line="240" w:lineRule="auto"/>
              <w:jc w:val="left"/>
              <w:rPr>
                <w:rFonts w:ascii="Arial Narrow" w:eastAsia="Arial Narrow" w:hAnsi="Arial Narrow" w:cs="Arial Narrow"/>
                <w:sz w:val="16"/>
                <w:szCs w:val="16"/>
              </w:rPr>
            </w:pPr>
          </w:p>
        </w:tc>
        <w:tc>
          <w:tcPr>
            <w:tcW w:w="541" w:type="dxa"/>
            <w:tcBorders>
              <w:top w:val="nil"/>
              <w:left w:val="nil"/>
              <w:bottom w:val="nil"/>
              <w:right w:val="nil"/>
            </w:tcBorders>
            <w:shd w:val="clear" w:color="auto" w:fill="auto"/>
            <w:noWrap/>
            <w:hideMark/>
          </w:tcPr>
          <w:p w:rsidR="00B5720E" w:rsidRPr="00A43EA1" w:rsidP="00B5720E" w14:paraId="4B51BB53" w14:textId="0446BCD3">
            <w:pPr>
              <w:keepNext/>
              <w:spacing w:after="0" w:line="240" w:lineRule="auto"/>
              <w:jc w:val="left"/>
              <w:rPr>
                <w:rFonts w:ascii="Arial Narrow" w:eastAsia="Arial Narrow" w:hAnsi="Arial Narrow" w:cs="Arial Narrow"/>
                <w:b/>
                <w:bCs/>
                <w:color w:val="000000"/>
                <w:sz w:val="16"/>
                <w:szCs w:val="16"/>
              </w:rPr>
            </w:pPr>
            <w:r>
              <w:rPr>
                <w:rFonts w:ascii="Arial Narrow" w:eastAsia="Arial Narrow" w:hAnsi="Arial Narrow" w:cs="Arial Narrow"/>
                <w:b/>
                <w:bCs/>
                <w:color w:val="000000"/>
                <w:sz w:val="16"/>
                <w:szCs w:val="16"/>
              </w:rPr>
              <w:t>80</w:t>
            </w:r>
          </w:p>
        </w:tc>
      </w:tr>
    </w:tbl>
    <w:p w:rsidR="004676EC" w:rsidRPr="00B5720E" w:rsidP="00B5720E" w14:paraId="610A4C0C" w14:textId="77777777">
      <w:pPr>
        <w:keepLines/>
        <w:jc w:val="left"/>
        <w:rPr>
          <w:rFonts w:ascii="Arial Narrow" w:eastAsia="Arial Narrow" w:hAnsi="Arial Narrow" w:cs="Arial Narrow"/>
          <w:sz w:val="16"/>
          <w:szCs w:val="18"/>
        </w:rPr>
        <w:sectPr w:rsidSect="00D86095">
          <w:headerReference w:type="even" r:id="rId6"/>
          <w:headerReference w:type="default" r:id="rId7"/>
          <w:footerReference w:type="even" r:id="rId8"/>
          <w:footerReference w:type="default" r:id="rId9"/>
          <w:headerReference w:type="first" r:id="rId10"/>
          <w:footerReference w:type="first" r:id="rId11"/>
          <w:type w:val="continuous"/>
          <w:pgSz w:w="11906" w:h="16838"/>
          <w:pgMar w:top="1418" w:right="1134" w:bottom="851" w:left="1134" w:header="431" w:footer="431" w:gutter="0"/>
          <w:pgBorders w:zOrder="front" w:display="allPages" w:offsetFrom="text">
            <w:top w:val="nil"/>
            <w:left w:val="nil"/>
            <w:bottom w:val="nil"/>
            <w:right w:val="nil"/>
          </w:pgBorders>
          <w:cols w:num="1" w:sep="0" w:space="720" w:equalWidth="1"/>
          <w:vAlign w:val="top"/>
          <w:titlePg w:val="0"/>
          <w:rtlGutter w:val="0"/>
          <w:docGrid w:linePitch="360"/>
        </w:sectPr>
      </w:pPr>
      <w:bookmarkStart w:id="2" w:name="RG_MARKER_6520"/>
      <w:bookmarkStart w:id="3" w:name="RG_MARKER_6583"/>
      <w:bookmarkEnd w:id="3"/>
      <w:bookmarkEnd w:id="2"/>
      <w:r>
        <w:t xml:space="preserve"> </w:t>
      </w:r>
    </w:p>
    <w:p w:rsidR="00A03523" w:rsidP="000D0C46" w14:paraId="42B39816" w14:textId="27071EA4">
      <w:pPr>
        <w:pageBreakBefore/>
        <w:spacing w:after="0" w:line="240" w:lineRule="auto"/>
        <w:contextualSpacing/>
        <w:rPr>
          <w:rFonts w:ascii="Arial Narrow" w:eastAsia="Arial Narrow" w:hAnsi="Arial Narrow" w:cs="Arial Narrow"/>
          <w:b/>
          <w:bCs/>
          <w:color w:val="002E6D"/>
          <w:sz w:val="16"/>
          <w:szCs w:val="16"/>
        </w:rPr>
      </w:pPr>
      <w:bookmarkStart w:id="4" w:name="RG_MARKER_6420"/>
      <w:bookmarkStart w:id="5" w:name="RG_MARKER_6589"/>
      <w:bookmarkEnd w:id="5"/>
      <w:bookmarkEnd w:id="4"/>
    </w:p>
    <w:tbl>
      <w:tblPr>
        <w:tblStyle w:val="TableNormal"/>
        <w:tblW w:w="10422" w:type="dxa"/>
        <w:tblInd w:w="633" w:type="dxa"/>
        <w:tblLook w:val="04A0"/>
      </w:tblPr>
      <w:tblGrid>
        <w:gridCol w:w="3319"/>
        <w:gridCol w:w="224"/>
        <w:gridCol w:w="224"/>
        <w:gridCol w:w="1191"/>
        <w:gridCol w:w="681"/>
        <w:gridCol w:w="789"/>
        <w:gridCol w:w="826"/>
        <w:gridCol w:w="1499"/>
        <w:gridCol w:w="802"/>
        <w:gridCol w:w="861"/>
        <w:gridCol w:w="6"/>
      </w:tblGrid>
      <w:tr w14:paraId="78FFC9C1" w14:textId="77777777" w:rsidTr="00CD4ED8">
        <w:tblPrEx>
          <w:tblW w:w="10422" w:type="dxa"/>
          <w:tblInd w:w="633" w:type="dxa"/>
          <w:tblLook w:val="04A0"/>
        </w:tblPrEx>
        <w:trPr>
          <w:trHeight w:val="282"/>
        </w:trPr>
        <w:tc>
          <w:tcPr>
            <w:tcW w:w="10422" w:type="dxa"/>
            <w:gridSpan w:val="11"/>
            <w:tcBorders>
              <w:top w:val="nil"/>
              <w:left w:val="nil"/>
              <w:bottom w:val="nil"/>
              <w:right w:val="nil"/>
            </w:tcBorders>
            <w:shd w:val="clear" w:color="auto" w:fill="auto"/>
            <w:noWrap/>
            <w:hideMark/>
          </w:tcPr>
          <w:p w:rsidR="000B3880" w:rsidRPr="00502467" w:rsidP="00CD4ED8" w14:paraId="4C191321" w14:textId="77777777">
            <w:pPr>
              <w:spacing w:after="0" w:line="240" w:lineRule="auto"/>
              <w:jc w:val="center"/>
              <w:rPr>
                <w:rFonts w:ascii="Arial Narrow" w:eastAsia="Arial Narrow" w:hAnsi="Arial Narrow" w:cs="Arial Narrow"/>
                <w:b/>
                <w:bCs/>
                <w:color w:val="000000"/>
                <w:sz w:val="20"/>
                <w:szCs w:val="20"/>
              </w:rPr>
            </w:pPr>
            <w:r w:rsidRPr="00502467">
              <w:rPr>
                <w:rFonts w:ascii="Arial Narrow" w:eastAsia="Arial Narrow" w:hAnsi="Arial Narrow" w:cs="Arial Narrow"/>
                <w:b/>
                <w:bCs/>
                <w:color w:val="000000"/>
                <w:sz w:val="20"/>
                <w:szCs w:val="20"/>
              </w:rPr>
              <w:t>Vispārīga informācija</w:t>
            </w:r>
          </w:p>
        </w:tc>
      </w:tr>
      <w:tr w14:paraId="61E734EB"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07EBD91E" w14:textId="77777777">
            <w:pPr>
              <w:spacing w:after="0" w:line="240" w:lineRule="auto"/>
              <w:jc w:val="center"/>
              <w:rPr>
                <w:rFonts w:ascii="Arial Narrow" w:eastAsia="Arial Narrow" w:hAnsi="Arial Narrow" w:cs="Arial Narrow"/>
                <w:b/>
                <w:bCs/>
                <w:color w:val="000000"/>
                <w:sz w:val="16"/>
                <w:szCs w:val="16"/>
              </w:rPr>
            </w:pPr>
          </w:p>
        </w:tc>
        <w:tc>
          <w:tcPr>
            <w:tcW w:w="224" w:type="dxa"/>
            <w:tcBorders>
              <w:top w:val="nil"/>
              <w:left w:val="nil"/>
              <w:bottom w:val="nil"/>
              <w:right w:val="nil"/>
            </w:tcBorders>
            <w:shd w:val="clear" w:color="auto" w:fill="auto"/>
            <w:noWrap/>
            <w:hideMark/>
          </w:tcPr>
          <w:p w:rsidR="000B3880" w:rsidRPr="00502467" w:rsidP="00CD4ED8" w14:paraId="7DF50BDE"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3CD537CA" w14:textId="77777777">
            <w:pPr>
              <w:spacing w:after="0" w:line="240" w:lineRule="auto"/>
              <w:rPr>
                <w:rFonts w:ascii="Arial Narrow" w:eastAsia="Arial Narrow" w:hAnsi="Arial Narrow" w:cs="Arial Narrow"/>
                <w:sz w:val="16"/>
                <w:szCs w:val="16"/>
              </w:rPr>
            </w:pPr>
          </w:p>
        </w:tc>
        <w:tc>
          <w:tcPr>
            <w:tcW w:w="1191" w:type="dxa"/>
            <w:tcBorders>
              <w:top w:val="nil"/>
              <w:left w:val="nil"/>
              <w:bottom w:val="nil"/>
              <w:right w:val="nil"/>
            </w:tcBorders>
            <w:shd w:val="clear" w:color="auto" w:fill="auto"/>
            <w:noWrap/>
            <w:hideMark/>
          </w:tcPr>
          <w:p w:rsidR="000B3880" w:rsidRPr="00502467" w:rsidP="00CD4ED8" w14:paraId="5ACA08D6" w14:textId="77777777">
            <w:pPr>
              <w:spacing w:after="0" w:line="240" w:lineRule="auto"/>
              <w:rPr>
                <w:rFonts w:ascii="Arial Narrow" w:eastAsia="Arial Narrow" w:hAnsi="Arial Narrow" w:cs="Arial Narrow"/>
                <w:sz w:val="16"/>
                <w:szCs w:val="16"/>
              </w:rPr>
            </w:pPr>
          </w:p>
        </w:tc>
        <w:tc>
          <w:tcPr>
            <w:tcW w:w="681" w:type="dxa"/>
            <w:tcBorders>
              <w:top w:val="nil"/>
              <w:left w:val="nil"/>
              <w:bottom w:val="nil"/>
              <w:right w:val="nil"/>
            </w:tcBorders>
            <w:shd w:val="clear" w:color="auto" w:fill="auto"/>
            <w:noWrap/>
            <w:hideMark/>
          </w:tcPr>
          <w:p w:rsidR="000B3880" w:rsidRPr="00502467" w:rsidP="00CD4ED8" w14:paraId="13C1EC63" w14:textId="77777777">
            <w:pPr>
              <w:spacing w:after="0" w:line="240" w:lineRule="auto"/>
              <w:rPr>
                <w:rFonts w:ascii="Arial Narrow" w:eastAsia="Arial Narrow" w:hAnsi="Arial Narrow" w:cs="Arial Narrow"/>
                <w:sz w:val="16"/>
                <w:szCs w:val="16"/>
              </w:rPr>
            </w:pPr>
          </w:p>
        </w:tc>
        <w:tc>
          <w:tcPr>
            <w:tcW w:w="789" w:type="dxa"/>
            <w:tcBorders>
              <w:top w:val="nil"/>
              <w:left w:val="nil"/>
              <w:bottom w:val="nil"/>
              <w:right w:val="nil"/>
            </w:tcBorders>
            <w:shd w:val="clear" w:color="auto" w:fill="auto"/>
            <w:noWrap/>
            <w:hideMark/>
          </w:tcPr>
          <w:p w:rsidR="000B3880" w:rsidRPr="00502467" w:rsidP="00CD4ED8" w14:paraId="119641FF" w14:textId="77777777">
            <w:pPr>
              <w:spacing w:after="0" w:line="240" w:lineRule="auto"/>
              <w:jc w:val="center"/>
              <w:rPr>
                <w:rFonts w:ascii="Arial Narrow" w:eastAsia="Arial Narrow" w:hAnsi="Arial Narrow" w:cs="Arial Narrow"/>
                <w:sz w:val="16"/>
                <w:szCs w:val="16"/>
              </w:rPr>
            </w:pPr>
          </w:p>
        </w:tc>
        <w:tc>
          <w:tcPr>
            <w:tcW w:w="826" w:type="dxa"/>
            <w:tcBorders>
              <w:top w:val="nil"/>
              <w:left w:val="nil"/>
              <w:bottom w:val="nil"/>
              <w:right w:val="nil"/>
            </w:tcBorders>
            <w:shd w:val="clear" w:color="auto" w:fill="auto"/>
            <w:noWrap/>
            <w:hideMark/>
          </w:tcPr>
          <w:p w:rsidR="000B3880" w:rsidRPr="00502467" w:rsidP="00CD4ED8" w14:paraId="4C6E97AC"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49BD78A0"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04C9757C"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3FACC3FA" w14:textId="77777777">
            <w:pPr>
              <w:spacing w:after="0" w:line="240" w:lineRule="auto"/>
              <w:rPr>
                <w:rFonts w:ascii="Arial Narrow" w:eastAsia="Arial Narrow" w:hAnsi="Arial Narrow" w:cs="Arial Narrow"/>
                <w:sz w:val="16"/>
                <w:szCs w:val="16"/>
              </w:rPr>
            </w:pPr>
          </w:p>
        </w:tc>
      </w:tr>
      <w:tr w14:paraId="75D77B73"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7DE6192C"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7F60AC36"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3ABB7DF1" w14:textId="77777777">
            <w:pPr>
              <w:spacing w:after="0" w:line="240" w:lineRule="auto"/>
              <w:rPr>
                <w:rFonts w:ascii="Arial Narrow" w:eastAsia="Arial Narrow" w:hAnsi="Arial Narrow" w:cs="Arial Narrow"/>
                <w:sz w:val="16"/>
                <w:szCs w:val="16"/>
              </w:rPr>
            </w:pPr>
          </w:p>
        </w:tc>
        <w:tc>
          <w:tcPr>
            <w:tcW w:w="1191" w:type="dxa"/>
            <w:tcBorders>
              <w:top w:val="nil"/>
              <w:left w:val="nil"/>
              <w:bottom w:val="nil"/>
              <w:right w:val="nil"/>
            </w:tcBorders>
            <w:shd w:val="clear" w:color="auto" w:fill="auto"/>
            <w:noWrap/>
            <w:hideMark/>
          </w:tcPr>
          <w:p w:rsidR="000B3880" w:rsidRPr="00502467" w:rsidP="00CD4ED8" w14:paraId="45DB56CD" w14:textId="77777777">
            <w:pPr>
              <w:spacing w:after="0" w:line="240" w:lineRule="auto"/>
              <w:rPr>
                <w:rFonts w:ascii="Arial Narrow" w:eastAsia="Arial Narrow" w:hAnsi="Arial Narrow" w:cs="Arial Narrow"/>
                <w:sz w:val="16"/>
                <w:szCs w:val="16"/>
              </w:rPr>
            </w:pPr>
          </w:p>
        </w:tc>
        <w:tc>
          <w:tcPr>
            <w:tcW w:w="681" w:type="dxa"/>
            <w:tcBorders>
              <w:top w:val="nil"/>
              <w:left w:val="nil"/>
              <w:bottom w:val="nil"/>
              <w:right w:val="nil"/>
            </w:tcBorders>
            <w:shd w:val="clear" w:color="auto" w:fill="auto"/>
            <w:noWrap/>
            <w:hideMark/>
          </w:tcPr>
          <w:p w:rsidR="000B3880" w:rsidRPr="00502467" w:rsidP="00CD4ED8" w14:paraId="0A9DBE8F" w14:textId="77777777">
            <w:pPr>
              <w:spacing w:after="0" w:line="240" w:lineRule="auto"/>
              <w:rPr>
                <w:rFonts w:ascii="Arial Narrow" w:eastAsia="Arial Narrow" w:hAnsi="Arial Narrow" w:cs="Arial Narrow"/>
                <w:sz w:val="16"/>
                <w:szCs w:val="16"/>
              </w:rPr>
            </w:pPr>
          </w:p>
        </w:tc>
        <w:tc>
          <w:tcPr>
            <w:tcW w:w="789" w:type="dxa"/>
            <w:tcBorders>
              <w:top w:val="nil"/>
              <w:left w:val="nil"/>
              <w:bottom w:val="nil"/>
              <w:right w:val="nil"/>
            </w:tcBorders>
            <w:shd w:val="clear" w:color="auto" w:fill="auto"/>
            <w:noWrap/>
            <w:hideMark/>
          </w:tcPr>
          <w:p w:rsidR="000B3880" w:rsidRPr="00502467" w:rsidP="00CD4ED8" w14:paraId="60A41D62" w14:textId="77777777">
            <w:pPr>
              <w:spacing w:after="0" w:line="240" w:lineRule="auto"/>
              <w:jc w:val="center"/>
              <w:rPr>
                <w:rFonts w:ascii="Arial Narrow" w:eastAsia="Arial Narrow" w:hAnsi="Arial Narrow" w:cs="Arial Narrow"/>
                <w:sz w:val="16"/>
                <w:szCs w:val="16"/>
              </w:rPr>
            </w:pPr>
          </w:p>
        </w:tc>
        <w:tc>
          <w:tcPr>
            <w:tcW w:w="826" w:type="dxa"/>
            <w:tcBorders>
              <w:top w:val="nil"/>
              <w:left w:val="nil"/>
              <w:bottom w:val="nil"/>
              <w:right w:val="nil"/>
            </w:tcBorders>
            <w:shd w:val="clear" w:color="auto" w:fill="auto"/>
            <w:noWrap/>
            <w:hideMark/>
          </w:tcPr>
          <w:p w:rsidR="000B3880" w:rsidRPr="00502467" w:rsidP="00CD4ED8" w14:paraId="1308239A"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3A4A8D1C"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59142D8F"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76249E3D" w14:textId="77777777">
            <w:pPr>
              <w:spacing w:after="0" w:line="240" w:lineRule="auto"/>
              <w:rPr>
                <w:rFonts w:ascii="Arial Narrow" w:eastAsia="Arial Narrow" w:hAnsi="Arial Narrow" w:cs="Arial Narrow"/>
                <w:sz w:val="16"/>
                <w:szCs w:val="16"/>
              </w:rPr>
            </w:pPr>
          </w:p>
        </w:tc>
      </w:tr>
      <w:tr w14:paraId="448AC022"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66A7DD31"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Mātes sabiedrības nosaukums</w:t>
            </w:r>
          </w:p>
        </w:tc>
        <w:tc>
          <w:tcPr>
            <w:tcW w:w="224" w:type="dxa"/>
            <w:tcBorders>
              <w:top w:val="nil"/>
              <w:left w:val="nil"/>
              <w:bottom w:val="nil"/>
              <w:right w:val="nil"/>
            </w:tcBorders>
            <w:shd w:val="clear" w:color="auto" w:fill="auto"/>
            <w:noWrap/>
            <w:hideMark/>
          </w:tcPr>
          <w:p w:rsidR="000B3880" w:rsidRPr="00502467" w:rsidP="00CD4ED8" w14:paraId="50DD88BA" w14:textId="77777777">
            <w:pPr>
              <w:spacing w:after="0" w:line="240" w:lineRule="auto"/>
              <w:rPr>
                <w:rFonts w:ascii="Arial Narrow" w:eastAsia="Arial Narrow" w:hAnsi="Arial Narrow" w:cs="Arial Narrow"/>
                <w:color w:val="000000"/>
                <w:sz w:val="16"/>
                <w:szCs w:val="16"/>
              </w:rPr>
            </w:pPr>
          </w:p>
        </w:tc>
        <w:tc>
          <w:tcPr>
            <w:tcW w:w="224" w:type="dxa"/>
            <w:tcBorders>
              <w:top w:val="nil"/>
              <w:left w:val="nil"/>
              <w:bottom w:val="nil"/>
              <w:right w:val="nil"/>
            </w:tcBorders>
            <w:shd w:val="clear" w:color="auto" w:fill="auto"/>
            <w:noWrap/>
            <w:hideMark/>
          </w:tcPr>
          <w:p w:rsidR="000B3880" w:rsidRPr="00502467" w:rsidP="00CD4ED8" w14:paraId="5DD31EEF" w14:textId="77777777">
            <w:pPr>
              <w:spacing w:after="0" w:line="240" w:lineRule="auto"/>
              <w:rPr>
                <w:rFonts w:ascii="Arial Narrow" w:eastAsia="Arial Narrow" w:hAnsi="Arial Narrow" w:cs="Arial Narrow"/>
                <w:sz w:val="16"/>
                <w:szCs w:val="16"/>
              </w:rPr>
            </w:pPr>
          </w:p>
        </w:tc>
        <w:tc>
          <w:tcPr>
            <w:tcW w:w="1191" w:type="dxa"/>
            <w:tcBorders>
              <w:top w:val="nil"/>
              <w:left w:val="nil"/>
              <w:bottom w:val="nil"/>
              <w:right w:val="nil"/>
            </w:tcBorders>
            <w:shd w:val="clear" w:color="auto" w:fill="auto"/>
            <w:noWrap/>
            <w:hideMark/>
          </w:tcPr>
          <w:p w:rsidR="000B3880" w:rsidRPr="00113339" w:rsidP="00CD4ED8" w14:paraId="0756AF17" w14:textId="77777777">
            <w:pPr>
              <w:spacing w:after="0" w:line="240" w:lineRule="auto"/>
              <w:rPr>
                <w:rFonts w:ascii="Arial Narrow" w:eastAsia="Arial Narrow" w:hAnsi="Arial Narrow" w:cs="Arial Narrow"/>
                <w:color w:val="000000"/>
                <w:sz w:val="16"/>
                <w:szCs w:val="16"/>
              </w:rPr>
            </w:pPr>
            <w:bookmarkStart w:id="6" w:name="XBRL_CS_8f05ed61dcbd4cc8baf9319705eeaacc"/>
            <w:bookmarkEnd w:id="6"/>
            <w:bookmarkStart w:id="7" w:name="8f05ed61dcbd4cc8baf9319705eeaacc"/>
            <w:r w:rsidRPr="00113339">
              <w:rPr>
                <w:rFonts w:ascii="Arial Narrow" w:eastAsia="Arial Narrow" w:hAnsi="Arial Narrow" w:cs="Arial Narrow"/>
                <w:color w:val="000000"/>
                <w:sz w:val="16"/>
                <w:szCs w:val="16"/>
              </w:rPr>
              <w:t>mogo</w:t>
            </w:r>
            <w:bookmarkStart w:id="8" w:name="XBRL_CE_8f05ed61dcbd4cc8baf9319705eeaacc"/>
            <w:bookmarkEnd w:id="7"/>
            <w:bookmarkEnd w:id="8"/>
          </w:p>
        </w:tc>
        <w:tc>
          <w:tcPr>
            <w:tcW w:w="681" w:type="dxa"/>
            <w:tcBorders>
              <w:top w:val="nil"/>
              <w:left w:val="nil"/>
              <w:bottom w:val="nil"/>
              <w:right w:val="nil"/>
            </w:tcBorders>
            <w:shd w:val="clear" w:color="auto" w:fill="auto"/>
            <w:noWrap/>
            <w:hideMark/>
          </w:tcPr>
          <w:p w:rsidR="000B3880" w:rsidRPr="00502467" w:rsidP="00CD4ED8" w14:paraId="2387A6ED" w14:textId="77777777">
            <w:pPr>
              <w:spacing w:after="0" w:line="240" w:lineRule="auto"/>
              <w:rPr>
                <w:rFonts w:ascii="Arial Narrow" w:eastAsia="Arial Narrow" w:hAnsi="Arial Narrow" w:cs="Arial Narrow"/>
                <w:color w:val="000000"/>
                <w:sz w:val="16"/>
                <w:szCs w:val="16"/>
              </w:rPr>
            </w:pPr>
          </w:p>
        </w:tc>
        <w:tc>
          <w:tcPr>
            <w:tcW w:w="789" w:type="dxa"/>
            <w:tcBorders>
              <w:top w:val="nil"/>
              <w:left w:val="nil"/>
              <w:bottom w:val="nil"/>
              <w:right w:val="nil"/>
            </w:tcBorders>
            <w:shd w:val="clear" w:color="auto" w:fill="auto"/>
            <w:noWrap/>
            <w:hideMark/>
          </w:tcPr>
          <w:p w:rsidR="000B3880" w:rsidRPr="00502467" w:rsidP="00CD4ED8" w14:paraId="261B93F6" w14:textId="77777777">
            <w:pPr>
              <w:spacing w:after="0" w:line="240" w:lineRule="auto"/>
              <w:rPr>
                <w:rFonts w:ascii="Arial Narrow" w:eastAsia="Arial Narrow" w:hAnsi="Arial Narrow" w:cs="Arial Narrow"/>
                <w:sz w:val="16"/>
                <w:szCs w:val="16"/>
              </w:rPr>
            </w:pPr>
          </w:p>
        </w:tc>
        <w:tc>
          <w:tcPr>
            <w:tcW w:w="826" w:type="dxa"/>
            <w:tcBorders>
              <w:top w:val="nil"/>
              <w:left w:val="nil"/>
              <w:bottom w:val="nil"/>
              <w:right w:val="nil"/>
            </w:tcBorders>
            <w:shd w:val="clear" w:color="auto" w:fill="auto"/>
            <w:noWrap/>
            <w:hideMark/>
          </w:tcPr>
          <w:p w:rsidR="000B3880" w:rsidRPr="00502467" w:rsidP="00CD4ED8" w14:paraId="0B08113F"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4F8A5F4C"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0A76D668"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0C0C078F" w14:textId="77777777">
            <w:pPr>
              <w:spacing w:after="0" w:line="240" w:lineRule="auto"/>
              <w:rPr>
                <w:rFonts w:ascii="Arial Narrow" w:eastAsia="Arial Narrow" w:hAnsi="Arial Narrow" w:cs="Arial Narrow"/>
                <w:sz w:val="16"/>
                <w:szCs w:val="16"/>
              </w:rPr>
            </w:pPr>
          </w:p>
        </w:tc>
      </w:tr>
      <w:tr w14:paraId="4441A0C0"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19F9A142"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18AC30B4"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20D5270F" w14:textId="77777777">
            <w:pPr>
              <w:spacing w:after="0" w:line="240" w:lineRule="auto"/>
              <w:rPr>
                <w:rFonts w:ascii="Arial Narrow" w:eastAsia="Arial Narrow" w:hAnsi="Arial Narrow" w:cs="Arial Narrow"/>
                <w:sz w:val="16"/>
                <w:szCs w:val="16"/>
              </w:rPr>
            </w:pPr>
          </w:p>
        </w:tc>
        <w:tc>
          <w:tcPr>
            <w:tcW w:w="1191" w:type="dxa"/>
            <w:tcBorders>
              <w:top w:val="nil"/>
              <w:left w:val="nil"/>
              <w:bottom w:val="nil"/>
              <w:right w:val="nil"/>
            </w:tcBorders>
            <w:shd w:val="clear" w:color="auto" w:fill="auto"/>
            <w:noWrap/>
            <w:hideMark/>
          </w:tcPr>
          <w:p w:rsidR="000B3880" w:rsidRPr="00502467" w:rsidP="00CD4ED8" w14:paraId="2C4830BC" w14:textId="77777777">
            <w:pPr>
              <w:spacing w:after="0" w:line="240" w:lineRule="auto"/>
              <w:rPr>
                <w:rFonts w:ascii="Arial Narrow" w:eastAsia="Arial Narrow" w:hAnsi="Arial Narrow" w:cs="Arial Narrow"/>
                <w:sz w:val="16"/>
                <w:szCs w:val="16"/>
              </w:rPr>
            </w:pPr>
          </w:p>
        </w:tc>
        <w:tc>
          <w:tcPr>
            <w:tcW w:w="681" w:type="dxa"/>
            <w:tcBorders>
              <w:top w:val="nil"/>
              <w:left w:val="nil"/>
              <w:bottom w:val="nil"/>
              <w:right w:val="nil"/>
            </w:tcBorders>
            <w:shd w:val="clear" w:color="auto" w:fill="auto"/>
            <w:noWrap/>
            <w:hideMark/>
          </w:tcPr>
          <w:p w:rsidR="000B3880" w:rsidRPr="00502467" w:rsidP="00CD4ED8" w14:paraId="68825E4E" w14:textId="77777777">
            <w:pPr>
              <w:spacing w:after="0" w:line="240" w:lineRule="auto"/>
              <w:rPr>
                <w:rFonts w:ascii="Arial Narrow" w:eastAsia="Arial Narrow" w:hAnsi="Arial Narrow" w:cs="Arial Narrow"/>
                <w:sz w:val="16"/>
                <w:szCs w:val="16"/>
              </w:rPr>
            </w:pPr>
          </w:p>
        </w:tc>
        <w:tc>
          <w:tcPr>
            <w:tcW w:w="789" w:type="dxa"/>
            <w:tcBorders>
              <w:top w:val="nil"/>
              <w:left w:val="nil"/>
              <w:bottom w:val="nil"/>
              <w:right w:val="nil"/>
            </w:tcBorders>
            <w:shd w:val="clear" w:color="auto" w:fill="auto"/>
            <w:noWrap/>
            <w:hideMark/>
          </w:tcPr>
          <w:p w:rsidR="000B3880" w:rsidRPr="00502467" w:rsidP="00CD4ED8" w14:paraId="6C68D783" w14:textId="77777777">
            <w:pPr>
              <w:spacing w:after="0" w:line="240" w:lineRule="auto"/>
              <w:rPr>
                <w:rFonts w:ascii="Arial Narrow" w:eastAsia="Arial Narrow" w:hAnsi="Arial Narrow" w:cs="Arial Narrow"/>
                <w:sz w:val="16"/>
                <w:szCs w:val="16"/>
              </w:rPr>
            </w:pPr>
          </w:p>
        </w:tc>
        <w:tc>
          <w:tcPr>
            <w:tcW w:w="826" w:type="dxa"/>
            <w:tcBorders>
              <w:top w:val="nil"/>
              <w:left w:val="nil"/>
              <w:bottom w:val="nil"/>
              <w:right w:val="nil"/>
            </w:tcBorders>
            <w:shd w:val="clear" w:color="auto" w:fill="auto"/>
            <w:noWrap/>
            <w:hideMark/>
          </w:tcPr>
          <w:p w:rsidR="000B3880" w:rsidRPr="00502467" w:rsidP="00CD4ED8" w14:paraId="0D209C20"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371241E1"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52762ECD"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1AEE550D" w14:textId="77777777">
            <w:pPr>
              <w:spacing w:after="0" w:line="240" w:lineRule="auto"/>
              <w:rPr>
                <w:rFonts w:ascii="Arial Narrow" w:eastAsia="Arial Narrow" w:hAnsi="Arial Narrow" w:cs="Arial Narrow"/>
                <w:sz w:val="16"/>
                <w:szCs w:val="16"/>
              </w:rPr>
            </w:pPr>
          </w:p>
        </w:tc>
      </w:tr>
      <w:tr w14:paraId="08251700" w14:textId="77777777" w:rsidTr="00CD4ED8">
        <w:tblPrEx>
          <w:tblW w:w="10422" w:type="dxa"/>
          <w:tblInd w:w="633" w:type="dxa"/>
          <w:tblLook w:val="04A0"/>
        </w:tblPrEx>
        <w:trPr>
          <w:gridAfter w:val="1"/>
          <w:wAfter w:w="6" w:type="dxa"/>
          <w:trHeight w:val="282"/>
        </w:trPr>
        <w:tc>
          <w:tcPr>
            <w:tcW w:w="3543" w:type="dxa"/>
            <w:gridSpan w:val="2"/>
            <w:tcBorders>
              <w:top w:val="nil"/>
              <w:left w:val="nil"/>
              <w:bottom w:val="nil"/>
              <w:right w:val="nil"/>
            </w:tcBorders>
            <w:shd w:val="clear" w:color="auto" w:fill="auto"/>
            <w:noWrap/>
            <w:hideMark/>
          </w:tcPr>
          <w:p w:rsidR="000B3880" w:rsidRPr="00502467" w:rsidP="00CD4ED8" w14:paraId="24C0B51A"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Mātes sabiedrības juridiskais statuss</w:t>
            </w:r>
          </w:p>
        </w:tc>
        <w:tc>
          <w:tcPr>
            <w:tcW w:w="224" w:type="dxa"/>
            <w:tcBorders>
              <w:top w:val="nil"/>
              <w:left w:val="nil"/>
              <w:bottom w:val="nil"/>
              <w:right w:val="nil"/>
            </w:tcBorders>
            <w:shd w:val="clear" w:color="auto" w:fill="auto"/>
            <w:noWrap/>
            <w:hideMark/>
          </w:tcPr>
          <w:p w:rsidR="000B3880" w:rsidRPr="00502467" w:rsidP="00CD4ED8" w14:paraId="0FF067A3" w14:textId="77777777">
            <w:pPr>
              <w:spacing w:after="0" w:line="240" w:lineRule="auto"/>
              <w:rPr>
                <w:rFonts w:ascii="Arial Narrow" w:eastAsia="Arial Narrow" w:hAnsi="Arial Narrow" w:cs="Arial Narrow"/>
                <w:color w:val="000000"/>
                <w:sz w:val="16"/>
                <w:szCs w:val="16"/>
              </w:rPr>
            </w:pPr>
          </w:p>
        </w:tc>
        <w:tc>
          <w:tcPr>
            <w:tcW w:w="1191" w:type="dxa"/>
            <w:tcBorders>
              <w:top w:val="nil"/>
              <w:left w:val="nil"/>
              <w:bottom w:val="nil"/>
              <w:right w:val="nil"/>
            </w:tcBorders>
            <w:shd w:val="clear" w:color="auto" w:fill="auto"/>
            <w:noWrap/>
            <w:hideMark/>
          </w:tcPr>
          <w:p w:rsidR="000B3880" w:rsidRPr="00113339" w:rsidP="00CD4ED8" w14:paraId="14C48CBE" w14:textId="77777777">
            <w:pPr>
              <w:spacing w:after="0" w:line="240" w:lineRule="auto"/>
              <w:rPr>
                <w:rFonts w:ascii="Arial Narrow" w:eastAsia="Arial Narrow" w:hAnsi="Arial Narrow" w:cs="Arial Narrow"/>
                <w:color w:val="000000"/>
                <w:sz w:val="16"/>
                <w:szCs w:val="16"/>
              </w:rPr>
            </w:pPr>
            <w:bookmarkStart w:id="9" w:name="XBRL_CS_3331566920d7498bbb0e9be288d2111a"/>
            <w:bookmarkEnd w:id="9"/>
            <w:bookmarkStart w:id="10" w:name="3331566920d7498bbb0e9be288d2111a"/>
            <w:r w:rsidRPr="00113339">
              <w:rPr>
                <w:rFonts w:ascii="Arial Narrow" w:eastAsia="Arial Narrow" w:hAnsi="Arial Narrow" w:cs="Arial Narrow"/>
                <w:color w:val="000000"/>
                <w:sz w:val="16"/>
                <w:szCs w:val="16"/>
              </w:rPr>
              <w:t>AS</w:t>
            </w:r>
            <w:bookmarkStart w:id="11" w:name="XBRL_CE_3331566920d7498bbb0e9be288d2111a"/>
            <w:bookmarkEnd w:id="10"/>
            <w:bookmarkEnd w:id="11"/>
          </w:p>
        </w:tc>
        <w:tc>
          <w:tcPr>
            <w:tcW w:w="681" w:type="dxa"/>
            <w:tcBorders>
              <w:top w:val="nil"/>
              <w:left w:val="nil"/>
              <w:bottom w:val="nil"/>
              <w:right w:val="nil"/>
            </w:tcBorders>
            <w:shd w:val="clear" w:color="auto" w:fill="auto"/>
            <w:noWrap/>
            <w:hideMark/>
          </w:tcPr>
          <w:p w:rsidR="000B3880" w:rsidRPr="00502467" w:rsidP="00CD4ED8" w14:paraId="53581529" w14:textId="77777777">
            <w:pPr>
              <w:spacing w:after="0" w:line="240" w:lineRule="auto"/>
              <w:rPr>
                <w:rFonts w:ascii="Arial Narrow" w:eastAsia="Arial Narrow" w:hAnsi="Arial Narrow" w:cs="Arial Narrow"/>
                <w:color w:val="000000"/>
                <w:sz w:val="16"/>
                <w:szCs w:val="16"/>
              </w:rPr>
            </w:pPr>
          </w:p>
        </w:tc>
        <w:tc>
          <w:tcPr>
            <w:tcW w:w="789" w:type="dxa"/>
            <w:tcBorders>
              <w:top w:val="nil"/>
              <w:left w:val="nil"/>
              <w:bottom w:val="nil"/>
              <w:right w:val="nil"/>
            </w:tcBorders>
            <w:shd w:val="clear" w:color="auto" w:fill="auto"/>
            <w:noWrap/>
            <w:hideMark/>
          </w:tcPr>
          <w:p w:rsidR="000B3880" w:rsidRPr="00502467" w:rsidP="00CD4ED8" w14:paraId="7530B250" w14:textId="77777777">
            <w:pPr>
              <w:spacing w:after="0" w:line="240" w:lineRule="auto"/>
              <w:rPr>
                <w:rFonts w:ascii="Arial Narrow" w:eastAsia="Arial Narrow" w:hAnsi="Arial Narrow" w:cs="Arial Narrow"/>
                <w:sz w:val="16"/>
                <w:szCs w:val="16"/>
              </w:rPr>
            </w:pPr>
          </w:p>
        </w:tc>
        <w:tc>
          <w:tcPr>
            <w:tcW w:w="826" w:type="dxa"/>
            <w:tcBorders>
              <w:top w:val="nil"/>
              <w:left w:val="nil"/>
              <w:bottom w:val="nil"/>
              <w:right w:val="nil"/>
            </w:tcBorders>
            <w:shd w:val="clear" w:color="auto" w:fill="auto"/>
            <w:noWrap/>
            <w:hideMark/>
          </w:tcPr>
          <w:p w:rsidR="000B3880" w:rsidRPr="00502467" w:rsidP="00CD4ED8" w14:paraId="6835A0E5"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6C6A5884"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46D2AC4D"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1B28D2A0" w14:textId="77777777">
            <w:pPr>
              <w:spacing w:after="0" w:line="240" w:lineRule="auto"/>
              <w:rPr>
                <w:rFonts w:ascii="Arial Narrow" w:eastAsia="Arial Narrow" w:hAnsi="Arial Narrow" w:cs="Arial Narrow"/>
                <w:sz w:val="16"/>
                <w:szCs w:val="16"/>
              </w:rPr>
            </w:pPr>
          </w:p>
        </w:tc>
      </w:tr>
      <w:tr w14:paraId="1F72428C"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11F00A6F"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40CCF6FA"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122BA692" w14:textId="77777777">
            <w:pPr>
              <w:spacing w:after="0" w:line="240" w:lineRule="auto"/>
              <w:rPr>
                <w:rFonts w:ascii="Arial Narrow" w:eastAsia="Arial Narrow" w:hAnsi="Arial Narrow" w:cs="Arial Narrow"/>
                <w:sz w:val="16"/>
                <w:szCs w:val="16"/>
              </w:rPr>
            </w:pPr>
          </w:p>
        </w:tc>
        <w:tc>
          <w:tcPr>
            <w:tcW w:w="1191" w:type="dxa"/>
            <w:tcBorders>
              <w:top w:val="nil"/>
              <w:left w:val="nil"/>
              <w:bottom w:val="nil"/>
              <w:right w:val="nil"/>
            </w:tcBorders>
            <w:shd w:val="clear" w:color="auto" w:fill="auto"/>
            <w:noWrap/>
            <w:hideMark/>
          </w:tcPr>
          <w:p w:rsidR="000B3880" w:rsidRPr="00502467" w:rsidP="00CD4ED8" w14:paraId="2FA1E909" w14:textId="77777777">
            <w:pPr>
              <w:spacing w:after="0" w:line="240" w:lineRule="auto"/>
              <w:rPr>
                <w:rFonts w:ascii="Arial Narrow" w:eastAsia="Arial Narrow" w:hAnsi="Arial Narrow" w:cs="Arial Narrow"/>
                <w:sz w:val="16"/>
                <w:szCs w:val="16"/>
              </w:rPr>
            </w:pPr>
          </w:p>
        </w:tc>
        <w:tc>
          <w:tcPr>
            <w:tcW w:w="681" w:type="dxa"/>
            <w:tcBorders>
              <w:top w:val="nil"/>
              <w:left w:val="nil"/>
              <w:bottom w:val="nil"/>
              <w:right w:val="nil"/>
            </w:tcBorders>
            <w:shd w:val="clear" w:color="auto" w:fill="auto"/>
            <w:noWrap/>
            <w:hideMark/>
          </w:tcPr>
          <w:p w:rsidR="000B3880" w:rsidRPr="00502467" w:rsidP="00CD4ED8" w14:paraId="7175C85F" w14:textId="77777777">
            <w:pPr>
              <w:spacing w:after="0" w:line="240" w:lineRule="auto"/>
              <w:rPr>
                <w:rFonts w:ascii="Arial Narrow" w:eastAsia="Arial Narrow" w:hAnsi="Arial Narrow" w:cs="Arial Narrow"/>
                <w:sz w:val="16"/>
                <w:szCs w:val="16"/>
              </w:rPr>
            </w:pPr>
          </w:p>
        </w:tc>
        <w:tc>
          <w:tcPr>
            <w:tcW w:w="789" w:type="dxa"/>
            <w:tcBorders>
              <w:top w:val="nil"/>
              <w:left w:val="nil"/>
              <w:bottom w:val="nil"/>
              <w:right w:val="nil"/>
            </w:tcBorders>
            <w:shd w:val="clear" w:color="auto" w:fill="auto"/>
            <w:noWrap/>
            <w:hideMark/>
          </w:tcPr>
          <w:p w:rsidR="000B3880" w:rsidRPr="00502467" w:rsidP="00CD4ED8" w14:paraId="4E94D700" w14:textId="77777777">
            <w:pPr>
              <w:spacing w:after="0" w:line="240" w:lineRule="auto"/>
              <w:rPr>
                <w:rFonts w:ascii="Arial Narrow" w:eastAsia="Arial Narrow" w:hAnsi="Arial Narrow" w:cs="Arial Narrow"/>
                <w:sz w:val="16"/>
                <w:szCs w:val="16"/>
              </w:rPr>
            </w:pPr>
          </w:p>
        </w:tc>
        <w:tc>
          <w:tcPr>
            <w:tcW w:w="826" w:type="dxa"/>
            <w:tcBorders>
              <w:top w:val="nil"/>
              <w:left w:val="nil"/>
              <w:bottom w:val="nil"/>
              <w:right w:val="nil"/>
            </w:tcBorders>
            <w:shd w:val="clear" w:color="auto" w:fill="auto"/>
            <w:noWrap/>
            <w:hideMark/>
          </w:tcPr>
          <w:p w:rsidR="000B3880" w:rsidRPr="00502467" w:rsidP="00CD4ED8" w14:paraId="3F0909D2"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58CA8991"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6D0C5611"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0D4EB494" w14:textId="77777777">
            <w:pPr>
              <w:spacing w:after="0" w:line="240" w:lineRule="auto"/>
              <w:rPr>
                <w:rFonts w:ascii="Arial Narrow" w:eastAsia="Arial Narrow" w:hAnsi="Arial Narrow" w:cs="Arial Narrow"/>
                <w:sz w:val="16"/>
                <w:szCs w:val="16"/>
              </w:rPr>
            </w:pPr>
          </w:p>
        </w:tc>
      </w:tr>
      <w:tr w14:paraId="371D6393" w14:textId="77777777" w:rsidTr="00CD4ED8">
        <w:tblPrEx>
          <w:tblW w:w="10422" w:type="dxa"/>
          <w:tblInd w:w="633" w:type="dxa"/>
          <w:tblLook w:val="04A0"/>
        </w:tblPrEx>
        <w:trPr>
          <w:trHeight w:val="282"/>
        </w:trPr>
        <w:tc>
          <w:tcPr>
            <w:tcW w:w="3767" w:type="dxa"/>
            <w:gridSpan w:val="3"/>
            <w:tcBorders>
              <w:top w:val="nil"/>
              <w:left w:val="nil"/>
              <w:bottom w:val="nil"/>
              <w:right w:val="nil"/>
            </w:tcBorders>
            <w:shd w:val="clear" w:color="auto" w:fill="auto"/>
            <w:noWrap/>
            <w:hideMark/>
          </w:tcPr>
          <w:p w:rsidR="000B3880" w:rsidRPr="00502467" w:rsidP="00CD4ED8" w14:paraId="7D6FB1D9"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Vienotais reģistrācijas numurs, reģistrācijas vieta un datums</w:t>
            </w:r>
          </w:p>
        </w:tc>
        <w:tc>
          <w:tcPr>
            <w:tcW w:w="2661" w:type="dxa"/>
            <w:gridSpan w:val="3"/>
            <w:tcBorders>
              <w:top w:val="nil"/>
              <w:left w:val="nil"/>
              <w:bottom w:val="nil"/>
              <w:right w:val="nil"/>
            </w:tcBorders>
            <w:shd w:val="clear" w:color="auto" w:fill="auto"/>
            <w:noWrap/>
            <w:hideMark/>
          </w:tcPr>
          <w:p w:rsidR="000B3880" w:rsidRPr="00502467" w:rsidP="00CD4ED8" w14:paraId="4106CC7D"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 xml:space="preserve">50103541751, </w:t>
            </w:r>
            <w:bookmarkStart w:id="12" w:name="XBRL_CS_5f77339e98ef4a8e930f053a3b32b349"/>
            <w:bookmarkEnd w:id="12"/>
            <w:bookmarkStart w:id="13" w:name="5f77339e98ef4a8e930f053a3b32b349"/>
            <w:r w:rsidRPr="00113339">
              <w:rPr>
                <w:rFonts w:ascii="Arial Narrow" w:eastAsia="Arial Narrow" w:hAnsi="Arial Narrow" w:cs="Arial Narrow"/>
                <w:color w:val="000000"/>
                <w:sz w:val="16"/>
                <w:szCs w:val="16"/>
              </w:rPr>
              <w:t>Latvija</w:t>
            </w:r>
            <w:bookmarkStart w:id="14" w:name="XBRL_CE_5f77339e98ef4a8e930f053a3b32b349"/>
            <w:bookmarkEnd w:id="13"/>
            <w:bookmarkEnd w:id="14"/>
            <w:r w:rsidRPr="00502467">
              <w:rPr>
                <w:rFonts w:ascii="Arial Narrow" w:eastAsia="Arial Narrow" w:hAnsi="Arial Narrow" w:cs="Arial Narrow"/>
                <w:color w:val="000000"/>
                <w:sz w:val="16"/>
                <w:szCs w:val="16"/>
              </w:rPr>
              <w:t xml:space="preserve">, </w:t>
            </w:r>
            <w:r w:rsidRPr="00502467">
              <w:rPr>
                <w:rFonts w:ascii="Arial Narrow" w:eastAsia="Arial Narrow" w:hAnsi="Arial Narrow" w:cs="Arial Narrow"/>
                <w:color w:val="000000"/>
                <w:sz w:val="16"/>
                <w:szCs w:val="16"/>
              </w:rPr>
              <w:t>03.05.2012</w:t>
            </w:r>
          </w:p>
        </w:tc>
        <w:tc>
          <w:tcPr>
            <w:tcW w:w="826" w:type="dxa"/>
            <w:tcBorders>
              <w:top w:val="nil"/>
              <w:left w:val="nil"/>
              <w:bottom w:val="nil"/>
              <w:right w:val="nil"/>
            </w:tcBorders>
            <w:shd w:val="clear" w:color="auto" w:fill="auto"/>
            <w:noWrap/>
            <w:hideMark/>
          </w:tcPr>
          <w:p w:rsidR="000B3880" w:rsidRPr="00502467" w:rsidP="00CD4ED8" w14:paraId="3CDFBE96" w14:textId="77777777">
            <w:pPr>
              <w:spacing w:after="0" w:line="240" w:lineRule="auto"/>
              <w:rPr>
                <w:rFonts w:ascii="Arial Narrow" w:eastAsia="Arial Narrow" w:hAnsi="Arial Narrow" w:cs="Arial Narrow"/>
                <w:color w:val="000000"/>
                <w:sz w:val="16"/>
                <w:szCs w:val="16"/>
              </w:rPr>
            </w:pPr>
          </w:p>
        </w:tc>
        <w:tc>
          <w:tcPr>
            <w:tcW w:w="1499" w:type="dxa"/>
            <w:tcBorders>
              <w:top w:val="nil"/>
              <w:left w:val="nil"/>
              <w:bottom w:val="nil"/>
              <w:right w:val="nil"/>
            </w:tcBorders>
            <w:shd w:val="clear" w:color="auto" w:fill="auto"/>
            <w:noWrap/>
            <w:hideMark/>
          </w:tcPr>
          <w:p w:rsidR="000B3880" w:rsidRPr="00502467" w:rsidP="00CD4ED8" w14:paraId="6E9F5EE6"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730898A9" w14:textId="77777777">
            <w:pPr>
              <w:spacing w:after="0" w:line="240" w:lineRule="auto"/>
              <w:rPr>
                <w:rFonts w:ascii="Arial Narrow" w:eastAsia="Arial Narrow" w:hAnsi="Arial Narrow" w:cs="Arial Narrow"/>
                <w:sz w:val="16"/>
                <w:szCs w:val="16"/>
              </w:rPr>
            </w:pPr>
          </w:p>
        </w:tc>
        <w:tc>
          <w:tcPr>
            <w:tcW w:w="867" w:type="dxa"/>
            <w:gridSpan w:val="2"/>
            <w:tcBorders>
              <w:top w:val="nil"/>
              <w:left w:val="nil"/>
              <w:bottom w:val="nil"/>
              <w:right w:val="nil"/>
            </w:tcBorders>
            <w:shd w:val="clear" w:color="auto" w:fill="auto"/>
            <w:noWrap/>
            <w:hideMark/>
          </w:tcPr>
          <w:p w:rsidR="000B3880" w:rsidRPr="00502467" w:rsidP="00CD4ED8" w14:paraId="2BD57605" w14:textId="77777777">
            <w:pPr>
              <w:spacing w:after="0" w:line="240" w:lineRule="auto"/>
              <w:rPr>
                <w:rFonts w:ascii="Arial Narrow" w:eastAsia="Arial Narrow" w:hAnsi="Arial Narrow" w:cs="Arial Narrow"/>
                <w:sz w:val="16"/>
                <w:szCs w:val="16"/>
              </w:rPr>
            </w:pPr>
          </w:p>
        </w:tc>
      </w:tr>
      <w:tr w14:paraId="1881487B"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7D81DC5C"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79EFAD14"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7ACFDB9D" w14:textId="77777777">
            <w:pPr>
              <w:spacing w:after="0" w:line="240" w:lineRule="auto"/>
              <w:rPr>
                <w:rFonts w:ascii="Arial Narrow" w:eastAsia="Arial Narrow" w:hAnsi="Arial Narrow" w:cs="Arial Narrow"/>
                <w:sz w:val="16"/>
                <w:szCs w:val="16"/>
              </w:rPr>
            </w:pPr>
          </w:p>
        </w:tc>
        <w:tc>
          <w:tcPr>
            <w:tcW w:w="1191" w:type="dxa"/>
            <w:tcBorders>
              <w:top w:val="nil"/>
              <w:left w:val="nil"/>
              <w:bottom w:val="nil"/>
              <w:right w:val="nil"/>
            </w:tcBorders>
            <w:shd w:val="clear" w:color="auto" w:fill="auto"/>
            <w:noWrap/>
            <w:hideMark/>
          </w:tcPr>
          <w:p w:rsidR="000B3880" w:rsidRPr="00502467" w:rsidP="00CD4ED8" w14:paraId="1328FFE9" w14:textId="77777777">
            <w:pPr>
              <w:spacing w:after="0" w:line="240" w:lineRule="auto"/>
              <w:rPr>
                <w:rFonts w:ascii="Arial Narrow" w:eastAsia="Arial Narrow" w:hAnsi="Arial Narrow" w:cs="Arial Narrow"/>
                <w:sz w:val="16"/>
                <w:szCs w:val="16"/>
              </w:rPr>
            </w:pPr>
          </w:p>
        </w:tc>
        <w:tc>
          <w:tcPr>
            <w:tcW w:w="681" w:type="dxa"/>
            <w:tcBorders>
              <w:top w:val="nil"/>
              <w:left w:val="nil"/>
              <w:bottom w:val="nil"/>
              <w:right w:val="nil"/>
            </w:tcBorders>
            <w:shd w:val="clear" w:color="auto" w:fill="auto"/>
            <w:noWrap/>
            <w:hideMark/>
          </w:tcPr>
          <w:p w:rsidR="000B3880" w:rsidRPr="00502467" w:rsidP="00CD4ED8" w14:paraId="26EE5A73" w14:textId="77777777">
            <w:pPr>
              <w:spacing w:after="0" w:line="240" w:lineRule="auto"/>
              <w:rPr>
                <w:rFonts w:ascii="Arial Narrow" w:eastAsia="Arial Narrow" w:hAnsi="Arial Narrow" w:cs="Arial Narrow"/>
                <w:sz w:val="16"/>
                <w:szCs w:val="16"/>
              </w:rPr>
            </w:pPr>
          </w:p>
        </w:tc>
        <w:tc>
          <w:tcPr>
            <w:tcW w:w="789" w:type="dxa"/>
            <w:tcBorders>
              <w:top w:val="nil"/>
              <w:left w:val="nil"/>
              <w:bottom w:val="nil"/>
              <w:right w:val="nil"/>
            </w:tcBorders>
            <w:shd w:val="clear" w:color="auto" w:fill="auto"/>
            <w:noWrap/>
            <w:hideMark/>
          </w:tcPr>
          <w:p w:rsidR="000B3880" w:rsidRPr="00502467" w:rsidP="00CD4ED8" w14:paraId="2110A839" w14:textId="77777777">
            <w:pPr>
              <w:spacing w:after="0" w:line="240" w:lineRule="auto"/>
              <w:rPr>
                <w:rFonts w:ascii="Arial Narrow" w:eastAsia="Arial Narrow" w:hAnsi="Arial Narrow" w:cs="Arial Narrow"/>
                <w:sz w:val="16"/>
                <w:szCs w:val="16"/>
              </w:rPr>
            </w:pPr>
          </w:p>
        </w:tc>
        <w:tc>
          <w:tcPr>
            <w:tcW w:w="826" w:type="dxa"/>
            <w:tcBorders>
              <w:top w:val="nil"/>
              <w:left w:val="nil"/>
              <w:bottom w:val="nil"/>
              <w:right w:val="nil"/>
            </w:tcBorders>
            <w:shd w:val="clear" w:color="auto" w:fill="auto"/>
            <w:noWrap/>
            <w:hideMark/>
          </w:tcPr>
          <w:p w:rsidR="000B3880" w:rsidRPr="00502467" w:rsidP="00CD4ED8" w14:paraId="17126043"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37039DBE"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20C74CBB"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18D75915" w14:textId="77777777">
            <w:pPr>
              <w:spacing w:after="0" w:line="240" w:lineRule="auto"/>
              <w:rPr>
                <w:rFonts w:ascii="Arial Narrow" w:eastAsia="Arial Narrow" w:hAnsi="Arial Narrow" w:cs="Arial Narrow"/>
                <w:sz w:val="16"/>
                <w:szCs w:val="16"/>
              </w:rPr>
            </w:pPr>
          </w:p>
        </w:tc>
      </w:tr>
      <w:tr w14:paraId="79FF1408"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32C665F5"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00424897"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09E78181" w14:textId="77777777">
            <w:pPr>
              <w:spacing w:after="0" w:line="240" w:lineRule="auto"/>
              <w:rPr>
                <w:rFonts w:ascii="Arial Narrow" w:eastAsia="Arial Narrow" w:hAnsi="Arial Narrow" w:cs="Arial Narrow"/>
                <w:sz w:val="16"/>
                <w:szCs w:val="16"/>
              </w:rPr>
            </w:pPr>
          </w:p>
        </w:tc>
        <w:tc>
          <w:tcPr>
            <w:tcW w:w="1191" w:type="dxa"/>
            <w:tcBorders>
              <w:top w:val="nil"/>
              <w:left w:val="nil"/>
              <w:bottom w:val="nil"/>
              <w:right w:val="nil"/>
            </w:tcBorders>
            <w:shd w:val="clear" w:color="auto" w:fill="auto"/>
            <w:noWrap/>
            <w:hideMark/>
          </w:tcPr>
          <w:p w:rsidR="000B3880" w:rsidRPr="00502467" w:rsidP="00CD4ED8" w14:paraId="115FF1A2" w14:textId="77777777">
            <w:pPr>
              <w:spacing w:after="0" w:line="240" w:lineRule="auto"/>
              <w:rPr>
                <w:rFonts w:ascii="Arial Narrow" w:eastAsia="Arial Narrow" w:hAnsi="Arial Narrow" w:cs="Arial Narrow"/>
                <w:sz w:val="16"/>
                <w:szCs w:val="16"/>
              </w:rPr>
            </w:pPr>
          </w:p>
        </w:tc>
        <w:tc>
          <w:tcPr>
            <w:tcW w:w="681" w:type="dxa"/>
            <w:tcBorders>
              <w:top w:val="nil"/>
              <w:left w:val="nil"/>
              <w:bottom w:val="nil"/>
              <w:right w:val="nil"/>
            </w:tcBorders>
            <w:shd w:val="clear" w:color="auto" w:fill="auto"/>
            <w:noWrap/>
            <w:hideMark/>
          </w:tcPr>
          <w:p w:rsidR="000B3880" w:rsidRPr="00502467" w:rsidP="00CD4ED8" w14:paraId="28C58572" w14:textId="77777777">
            <w:pPr>
              <w:spacing w:after="0" w:line="240" w:lineRule="auto"/>
              <w:rPr>
                <w:rFonts w:ascii="Arial Narrow" w:eastAsia="Arial Narrow" w:hAnsi="Arial Narrow" w:cs="Arial Narrow"/>
                <w:sz w:val="16"/>
                <w:szCs w:val="16"/>
              </w:rPr>
            </w:pPr>
          </w:p>
        </w:tc>
        <w:tc>
          <w:tcPr>
            <w:tcW w:w="789" w:type="dxa"/>
            <w:tcBorders>
              <w:top w:val="nil"/>
              <w:left w:val="nil"/>
              <w:bottom w:val="nil"/>
              <w:right w:val="nil"/>
            </w:tcBorders>
            <w:shd w:val="clear" w:color="auto" w:fill="auto"/>
            <w:noWrap/>
            <w:hideMark/>
          </w:tcPr>
          <w:p w:rsidR="000B3880" w:rsidRPr="00502467" w:rsidP="00CD4ED8" w14:paraId="3C9D3A72" w14:textId="77777777">
            <w:pPr>
              <w:spacing w:after="0" w:line="240" w:lineRule="auto"/>
              <w:rPr>
                <w:rFonts w:ascii="Arial Narrow" w:eastAsia="Arial Narrow" w:hAnsi="Arial Narrow" w:cs="Arial Narrow"/>
                <w:sz w:val="16"/>
                <w:szCs w:val="16"/>
              </w:rPr>
            </w:pPr>
          </w:p>
        </w:tc>
        <w:tc>
          <w:tcPr>
            <w:tcW w:w="826" w:type="dxa"/>
            <w:tcBorders>
              <w:top w:val="nil"/>
              <w:left w:val="nil"/>
              <w:bottom w:val="nil"/>
              <w:right w:val="nil"/>
            </w:tcBorders>
            <w:shd w:val="clear" w:color="auto" w:fill="auto"/>
            <w:noWrap/>
            <w:hideMark/>
          </w:tcPr>
          <w:p w:rsidR="000B3880" w:rsidRPr="00502467" w:rsidP="00CD4ED8" w14:paraId="76D8094E"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58E9EE6B"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216C6D18"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57A1EC9C" w14:textId="77777777">
            <w:pPr>
              <w:spacing w:after="0" w:line="240" w:lineRule="auto"/>
              <w:rPr>
                <w:rFonts w:ascii="Arial Narrow" w:eastAsia="Arial Narrow" w:hAnsi="Arial Narrow" w:cs="Arial Narrow"/>
                <w:sz w:val="16"/>
                <w:szCs w:val="16"/>
              </w:rPr>
            </w:pPr>
          </w:p>
        </w:tc>
      </w:tr>
      <w:tr w14:paraId="4C8CF6DB"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49B05E4F"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Juridiskā adrese</w:t>
            </w:r>
          </w:p>
        </w:tc>
        <w:tc>
          <w:tcPr>
            <w:tcW w:w="224" w:type="dxa"/>
            <w:tcBorders>
              <w:top w:val="nil"/>
              <w:left w:val="nil"/>
              <w:bottom w:val="nil"/>
              <w:right w:val="nil"/>
            </w:tcBorders>
            <w:shd w:val="clear" w:color="auto" w:fill="auto"/>
            <w:noWrap/>
            <w:hideMark/>
          </w:tcPr>
          <w:p w:rsidR="000B3880" w:rsidRPr="00502467" w:rsidP="00CD4ED8" w14:paraId="0E1EC9A7" w14:textId="77777777">
            <w:pPr>
              <w:spacing w:after="0" w:line="240" w:lineRule="auto"/>
              <w:rPr>
                <w:rFonts w:ascii="Arial Narrow" w:eastAsia="Arial Narrow" w:hAnsi="Arial Narrow" w:cs="Arial Narrow"/>
                <w:color w:val="000000"/>
                <w:sz w:val="16"/>
                <w:szCs w:val="16"/>
              </w:rPr>
            </w:pPr>
          </w:p>
        </w:tc>
        <w:tc>
          <w:tcPr>
            <w:tcW w:w="224" w:type="dxa"/>
            <w:tcBorders>
              <w:top w:val="nil"/>
              <w:left w:val="nil"/>
              <w:bottom w:val="nil"/>
              <w:right w:val="nil"/>
            </w:tcBorders>
            <w:shd w:val="clear" w:color="auto" w:fill="auto"/>
            <w:noWrap/>
            <w:hideMark/>
          </w:tcPr>
          <w:p w:rsidR="000B3880" w:rsidRPr="00502467" w:rsidP="00CD4ED8" w14:paraId="4E2AD40C" w14:textId="77777777">
            <w:pPr>
              <w:spacing w:after="0" w:line="240" w:lineRule="auto"/>
              <w:rPr>
                <w:rFonts w:ascii="Arial Narrow" w:eastAsia="Arial Narrow" w:hAnsi="Arial Narrow" w:cs="Arial Narrow"/>
                <w:sz w:val="16"/>
                <w:szCs w:val="16"/>
              </w:rPr>
            </w:pPr>
          </w:p>
        </w:tc>
        <w:tc>
          <w:tcPr>
            <w:tcW w:w="4986" w:type="dxa"/>
            <w:gridSpan w:val="5"/>
            <w:tcBorders>
              <w:top w:val="nil"/>
              <w:left w:val="nil"/>
              <w:bottom w:val="nil"/>
              <w:right w:val="nil"/>
            </w:tcBorders>
            <w:shd w:val="clear" w:color="auto" w:fill="auto"/>
            <w:noWrap/>
            <w:hideMark/>
          </w:tcPr>
          <w:p w:rsidR="000B3880" w:rsidRPr="00502467" w:rsidP="00CD4ED8" w14:paraId="5C15BC08" w14:textId="77777777">
            <w:pPr>
              <w:spacing w:after="0" w:line="240" w:lineRule="auto"/>
              <w:rPr>
                <w:rFonts w:ascii="Arial Narrow" w:eastAsia="Arial Narrow" w:hAnsi="Arial Narrow" w:cs="Arial Narrow"/>
                <w:color w:val="000000"/>
                <w:sz w:val="16"/>
                <w:szCs w:val="16"/>
              </w:rPr>
            </w:pPr>
            <w:bookmarkStart w:id="15" w:name="XBRL_CS_378a2475e831463eab9679beff23a9e9"/>
            <w:bookmarkEnd w:id="15"/>
            <w:bookmarkStart w:id="16" w:name="378a2475e831463eab9679beff23a9e9"/>
            <w:r w:rsidRPr="00113339">
              <w:rPr>
                <w:rFonts w:ascii="Arial Narrow" w:eastAsia="Arial Narrow" w:hAnsi="Arial Narrow" w:cs="Arial Narrow"/>
                <w:color w:val="000000"/>
                <w:sz w:val="16"/>
                <w:szCs w:val="16"/>
              </w:rPr>
              <w:t>Skanstes iela 52, Rīga</w:t>
            </w:r>
            <w:bookmarkStart w:id="17" w:name="XBRL_CE_378a2475e831463eab9679beff23a9e9"/>
            <w:bookmarkEnd w:id="16"/>
            <w:bookmarkEnd w:id="17"/>
            <w:r w:rsidRPr="00502467">
              <w:rPr>
                <w:rFonts w:ascii="Arial Narrow" w:eastAsia="Arial Narrow" w:hAnsi="Arial Narrow" w:cs="Arial Narrow"/>
                <w:color w:val="000000"/>
                <w:sz w:val="16"/>
                <w:szCs w:val="16"/>
              </w:rPr>
              <w:t xml:space="preserve">, </w:t>
            </w:r>
            <w:bookmarkStart w:id="18" w:name="XBRL_CS_bb7ae0f0a22f4470a88fcfdcf8cc17fc"/>
            <w:bookmarkEnd w:id="18"/>
            <w:bookmarkStart w:id="19" w:name="bb7ae0f0a22f4470a88fcfdcf8cc17fc"/>
            <w:r w:rsidRPr="00113339">
              <w:rPr>
                <w:rFonts w:ascii="Arial Narrow" w:eastAsia="Arial Narrow" w:hAnsi="Arial Narrow" w:cs="Arial Narrow"/>
                <w:color w:val="000000"/>
                <w:sz w:val="16"/>
                <w:szCs w:val="16"/>
              </w:rPr>
              <w:t>Latvija</w:t>
            </w:r>
            <w:bookmarkStart w:id="20" w:name="XBRL_CE_bb7ae0f0a22f4470a88fcfdcf8cc17fc"/>
            <w:bookmarkEnd w:id="19"/>
            <w:bookmarkEnd w:id="20"/>
          </w:p>
        </w:tc>
        <w:tc>
          <w:tcPr>
            <w:tcW w:w="802" w:type="dxa"/>
            <w:tcBorders>
              <w:top w:val="nil"/>
              <w:left w:val="nil"/>
              <w:bottom w:val="nil"/>
              <w:right w:val="nil"/>
            </w:tcBorders>
            <w:shd w:val="clear" w:color="auto" w:fill="auto"/>
            <w:noWrap/>
            <w:hideMark/>
          </w:tcPr>
          <w:p w:rsidR="000B3880" w:rsidRPr="00502467" w:rsidP="00CD4ED8" w14:paraId="48DB596B" w14:textId="77777777">
            <w:pPr>
              <w:spacing w:after="0" w:line="240" w:lineRule="auto"/>
              <w:rPr>
                <w:rFonts w:ascii="Arial Narrow" w:eastAsia="Arial Narrow" w:hAnsi="Arial Narrow" w:cs="Arial Narrow"/>
                <w:color w:val="000000"/>
                <w:sz w:val="16"/>
                <w:szCs w:val="16"/>
              </w:rPr>
            </w:pPr>
          </w:p>
        </w:tc>
        <w:tc>
          <w:tcPr>
            <w:tcW w:w="861" w:type="dxa"/>
            <w:tcBorders>
              <w:top w:val="nil"/>
              <w:left w:val="nil"/>
              <w:bottom w:val="nil"/>
              <w:right w:val="nil"/>
            </w:tcBorders>
            <w:shd w:val="clear" w:color="auto" w:fill="auto"/>
            <w:noWrap/>
            <w:hideMark/>
          </w:tcPr>
          <w:p w:rsidR="000B3880" w:rsidRPr="00502467" w:rsidP="00CD4ED8" w14:paraId="220247E6" w14:textId="77777777">
            <w:pPr>
              <w:spacing w:after="0" w:line="240" w:lineRule="auto"/>
              <w:rPr>
                <w:rFonts w:ascii="Arial Narrow" w:eastAsia="Arial Narrow" w:hAnsi="Arial Narrow" w:cs="Arial Narrow"/>
                <w:sz w:val="16"/>
                <w:szCs w:val="16"/>
              </w:rPr>
            </w:pPr>
          </w:p>
        </w:tc>
      </w:tr>
      <w:tr w14:paraId="40E165FF"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56E70128"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77242DF3"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4203BBFD" w14:textId="77777777">
            <w:pPr>
              <w:spacing w:after="0" w:line="240" w:lineRule="auto"/>
              <w:rPr>
                <w:rFonts w:ascii="Arial Narrow" w:eastAsia="Arial Narrow" w:hAnsi="Arial Narrow" w:cs="Arial Narrow"/>
                <w:sz w:val="16"/>
                <w:szCs w:val="16"/>
              </w:rPr>
            </w:pPr>
          </w:p>
        </w:tc>
        <w:tc>
          <w:tcPr>
            <w:tcW w:w="1191" w:type="dxa"/>
            <w:tcBorders>
              <w:top w:val="nil"/>
              <w:left w:val="nil"/>
              <w:bottom w:val="nil"/>
              <w:right w:val="nil"/>
            </w:tcBorders>
            <w:shd w:val="clear" w:color="auto" w:fill="auto"/>
            <w:noWrap/>
            <w:hideMark/>
          </w:tcPr>
          <w:p w:rsidR="000B3880" w:rsidRPr="00502467" w:rsidP="00CD4ED8" w14:paraId="244FA45D" w14:textId="77777777">
            <w:pPr>
              <w:spacing w:after="0" w:line="240" w:lineRule="auto"/>
              <w:rPr>
                <w:rFonts w:ascii="Arial Narrow" w:eastAsia="Arial Narrow" w:hAnsi="Arial Narrow" w:cs="Arial Narrow"/>
                <w:sz w:val="16"/>
                <w:szCs w:val="16"/>
              </w:rPr>
            </w:pPr>
          </w:p>
        </w:tc>
        <w:tc>
          <w:tcPr>
            <w:tcW w:w="681" w:type="dxa"/>
            <w:tcBorders>
              <w:top w:val="nil"/>
              <w:left w:val="nil"/>
              <w:bottom w:val="nil"/>
              <w:right w:val="nil"/>
            </w:tcBorders>
            <w:shd w:val="clear" w:color="auto" w:fill="auto"/>
            <w:noWrap/>
            <w:hideMark/>
          </w:tcPr>
          <w:p w:rsidR="000B3880" w:rsidRPr="00502467" w:rsidP="00CD4ED8" w14:paraId="1E615A41" w14:textId="77777777">
            <w:pPr>
              <w:spacing w:after="0" w:line="240" w:lineRule="auto"/>
              <w:rPr>
                <w:rFonts w:ascii="Arial Narrow" w:eastAsia="Arial Narrow" w:hAnsi="Arial Narrow" w:cs="Arial Narrow"/>
                <w:sz w:val="16"/>
                <w:szCs w:val="16"/>
              </w:rPr>
            </w:pPr>
          </w:p>
        </w:tc>
        <w:tc>
          <w:tcPr>
            <w:tcW w:w="789" w:type="dxa"/>
            <w:tcBorders>
              <w:top w:val="nil"/>
              <w:left w:val="nil"/>
              <w:bottom w:val="nil"/>
              <w:right w:val="nil"/>
            </w:tcBorders>
            <w:shd w:val="clear" w:color="auto" w:fill="auto"/>
            <w:noWrap/>
            <w:hideMark/>
          </w:tcPr>
          <w:p w:rsidR="000B3880" w:rsidRPr="00502467" w:rsidP="00CD4ED8" w14:paraId="17D03A9F" w14:textId="77777777">
            <w:pPr>
              <w:spacing w:after="0" w:line="240" w:lineRule="auto"/>
              <w:rPr>
                <w:rFonts w:ascii="Arial Narrow" w:eastAsia="Arial Narrow" w:hAnsi="Arial Narrow" w:cs="Arial Narrow"/>
                <w:sz w:val="16"/>
                <w:szCs w:val="16"/>
              </w:rPr>
            </w:pPr>
          </w:p>
        </w:tc>
        <w:tc>
          <w:tcPr>
            <w:tcW w:w="826" w:type="dxa"/>
            <w:tcBorders>
              <w:top w:val="nil"/>
              <w:left w:val="nil"/>
              <w:bottom w:val="nil"/>
              <w:right w:val="nil"/>
            </w:tcBorders>
            <w:shd w:val="clear" w:color="auto" w:fill="auto"/>
            <w:noWrap/>
            <w:hideMark/>
          </w:tcPr>
          <w:p w:rsidR="000B3880" w:rsidRPr="00502467" w:rsidP="00CD4ED8" w14:paraId="2A65926C"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15AEF69B"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743742B7"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07075F58" w14:textId="77777777">
            <w:pPr>
              <w:spacing w:after="0" w:line="240" w:lineRule="auto"/>
              <w:rPr>
                <w:rFonts w:ascii="Arial Narrow" w:eastAsia="Arial Narrow" w:hAnsi="Arial Narrow" w:cs="Arial Narrow"/>
                <w:sz w:val="16"/>
                <w:szCs w:val="16"/>
              </w:rPr>
            </w:pPr>
          </w:p>
        </w:tc>
      </w:tr>
      <w:tr w14:paraId="6C9AF9D0"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2212B5DD"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Akcionāri</w:t>
            </w:r>
          </w:p>
        </w:tc>
        <w:tc>
          <w:tcPr>
            <w:tcW w:w="224" w:type="dxa"/>
            <w:tcBorders>
              <w:top w:val="nil"/>
              <w:left w:val="nil"/>
              <w:bottom w:val="nil"/>
              <w:right w:val="nil"/>
            </w:tcBorders>
            <w:shd w:val="clear" w:color="auto" w:fill="auto"/>
            <w:noWrap/>
            <w:hideMark/>
          </w:tcPr>
          <w:p w:rsidR="000B3880" w:rsidRPr="00502467" w:rsidP="00CD4ED8" w14:paraId="42D7AB0A" w14:textId="77777777">
            <w:pPr>
              <w:spacing w:after="0" w:line="240" w:lineRule="auto"/>
              <w:rPr>
                <w:rFonts w:ascii="Arial Narrow" w:eastAsia="Arial Narrow" w:hAnsi="Arial Narrow" w:cs="Arial Narrow"/>
                <w:color w:val="000000"/>
                <w:sz w:val="16"/>
                <w:szCs w:val="16"/>
              </w:rPr>
            </w:pPr>
          </w:p>
        </w:tc>
        <w:tc>
          <w:tcPr>
            <w:tcW w:w="224" w:type="dxa"/>
            <w:tcBorders>
              <w:top w:val="nil"/>
              <w:left w:val="nil"/>
              <w:bottom w:val="nil"/>
              <w:right w:val="nil"/>
            </w:tcBorders>
            <w:shd w:val="clear" w:color="auto" w:fill="auto"/>
            <w:noWrap/>
            <w:hideMark/>
          </w:tcPr>
          <w:p w:rsidR="000B3880" w:rsidRPr="00502467" w:rsidP="00CD4ED8" w14:paraId="66C96A9C" w14:textId="77777777">
            <w:pPr>
              <w:spacing w:after="0" w:line="240" w:lineRule="auto"/>
              <w:rPr>
                <w:rFonts w:ascii="Arial Narrow" w:eastAsia="Arial Narrow" w:hAnsi="Arial Narrow" w:cs="Arial Narrow"/>
                <w:sz w:val="16"/>
                <w:szCs w:val="16"/>
              </w:rPr>
            </w:pPr>
          </w:p>
        </w:tc>
        <w:tc>
          <w:tcPr>
            <w:tcW w:w="1191" w:type="dxa"/>
            <w:tcBorders>
              <w:top w:val="nil"/>
              <w:left w:val="nil"/>
              <w:bottom w:val="nil"/>
              <w:right w:val="nil"/>
            </w:tcBorders>
            <w:shd w:val="clear" w:color="auto" w:fill="auto"/>
            <w:noWrap/>
            <w:hideMark/>
          </w:tcPr>
          <w:p w:rsidR="000B3880" w:rsidRPr="00502467" w:rsidP="00CD4ED8" w14:paraId="580BC38E" w14:textId="77777777">
            <w:pPr>
              <w:spacing w:after="0" w:line="240" w:lineRule="auto"/>
              <w:rPr>
                <w:rFonts w:ascii="Arial Narrow" w:eastAsia="Arial Narrow" w:hAnsi="Arial Narrow" w:cs="Arial Narrow"/>
                <w:sz w:val="16"/>
                <w:szCs w:val="16"/>
              </w:rPr>
            </w:pPr>
          </w:p>
        </w:tc>
        <w:tc>
          <w:tcPr>
            <w:tcW w:w="681" w:type="dxa"/>
            <w:tcBorders>
              <w:top w:val="nil"/>
              <w:left w:val="nil"/>
              <w:bottom w:val="nil"/>
              <w:right w:val="nil"/>
            </w:tcBorders>
            <w:shd w:val="clear" w:color="auto" w:fill="auto"/>
            <w:noWrap/>
            <w:hideMark/>
          </w:tcPr>
          <w:p w:rsidR="000B3880" w:rsidRPr="00502467" w:rsidP="00CD4ED8" w14:paraId="5659F31B" w14:textId="77777777">
            <w:pPr>
              <w:spacing w:after="0" w:line="240" w:lineRule="auto"/>
              <w:rPr>
                <w:rFonts w:ascii="Arial Narrow" w:eastAsia="Arial Narrow" w:hAnsi="Arial Narrow" w:cs="Arial Narrow"/>
                <w:sz w:val="16"/>
                <w:szCs w:val="16"/>
              </w:rPr>
            </w:pPr>
          </w:p>
        </w:tc>
        <w:tc>
          <w:tcPr>
            <w:tcW w:w="789" w:type="dxa"/>
            <w:tcBorders>
              <w:top w:val="nil"/>
              <w:left w:val="nil"/>
              <w:bottom w:val="nil"/>
              <w:right w:val="nil"/>
            </w:tcBorders>
            <w:shd w:val="clear" w:color="auto" w:fill="auto"/>
            <w:noWrap/>
            <w:hideMark/>
          </w:tcPr>
          <w:p w:rsidR="000B3880" w:rsidRPr="00502467" w:rsidP="00CD4ED8" w14:paraId="53D02873" w14:textId="77777777">
            <w:pPr>
              <w:spacing w:after="0" w:line="240" w:lineRule="auto"/>
              <w:rPr>
                <w:rFonts w:ascii="Arial Narrow" w:eastAsia="Arial Narrow" w:hAnsi="Arial Narrow" w:cs="Arial Narrow"/>
                <w:sz w:val="16"/>
                <w:szCs w:val="16"/>
              </w:rPr>
            </w:pPr>
          </w:p>
        </w:tc>
        <w:tc>
          <w:tcPr>
            <w:tcW w:w="826" w:type="dxa"/>
            <w:tcBorders>
              <w:top w:val="nil"/>
              <w:left w:val="nil"/>
              <w:bottom w:val="nil"/>
              <w:right w:val="nil"/>
            </w:tcBorders>
            <w:shd w:val="clear" w:color="auto" w:fill="auto"/>
            <w:noWrap/>
            <w:hideMark/>
          </w:tcPr>
          <w:p w:rsidR="000B3880" w:rsidRPr="00502467" w:rsidP="00CD4ED8" w14:paraId="73ACB537"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43B0FF55" w14:textId="77777777">
            <w:pPr>
              <w:spacing w:after="0" w:line="240" w:lineRule="auto"/>
              <w:jc w:val="right"/>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31.12.2021.</w:t>
            </w:r>
          </w:p>
        </w:tc>
        <w:tc>
          <w:tcPr>
            <w:tcW w:w="802" w:type="dxa"/>
            <w:tcBorders>
              <w:top w:val="nil"/>
              <w:left w:val="nil"/>
              <w:bottom w:val="nil"/>
              <w:right w:val="nil"/>
            </w:tcBorders>
            <w:shd w:val="clear" w:color="auto" w:fill="auto"/>
            <w:noWrap/>
            <w:hideMark/>
          </w:tcPr>
          <w:p w:rsidR="000B3880" w:rsidRPr="00502467" w:rsidP="00CD4ED8" w14:paraId="78403F8F" w14:textId="77777777">
            <w:pPr>
              <w:spacing w:after="0" w:line="240" w:lineRule="auto"/>
              <w:jc w:val="right"/>
              <w:rPr>
                <w:rFonts w:ascii="Arial Narrow" w:eastAsia="Arial Narrow" w:hAnsi="Arial Narrow" w:cs="Arial Narrow"/>
                <w:color w:val="000000"/>
                <w:sz w:val="16"/>
                <w:szCs w:val="16"/>
              </w:rPr>
            </w:pPr>
          </w:p>
        </w:tc>
        <w:tc>
          <w:tcPr>
            <w:tcW w:w="861" w:type="dxa"/>
            <w:tcBorders>
              <w:top w:val="nil"/>
              <w:left w:val="nil"/>
              <w:bottom w:val="nil"/>
              <w:right w:val="nil"/>
            </w:tcBorders>
            <w:shd w:val="clear" w:color="auto" w:fill="auto"/>
            <w:noWrap/>
            <w:hideMark/>
          </w:tcPr>
          <w:p w:rsidR="000B3880" w:rsidRPr="00502467" w:rsidP="00CD4ED8" w14:paraId="53D34F6D" w14:textId="77777777">
            <w:pPr>
              <w:spacing w:after="0" w:line="240" w:lineRule="auto"/>
              <w:rPr>
                <w:rFonts w:ascii="Arial Narrow" w:eastAsia="Arial Narrow" w:hAnsi="Arial Narrow" w:cs="Arial Narrow"/>
                <w:sz w:val="16"/>
                <w:szCs w:val="16"/>
              </w:rPr>
            </w:pPr>
          </w:p>
        </w:tc>
      </w:tr>
      <w:tr w14:paraId="05CE795B"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106E8C03"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7BFE14D8"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5D72A6CA" w14:textId="77777777">
            <w:pPr>
              <w:spacing w:after="0" w:line="240" w:lineRule="auto"/>
              <w:rPr>
                <w:rFonts w:ascii="Arial Narrow" w:eastAsia="Arial Narrow" w:hAnsi="Arial Narrow" w:cs="Arial Narrow"/>
                <w:sz w:val="16"/>
                <w:szCs w:val="16"/>
              </w:rPr>
            </w:pPr>
          </w:p>
        </w:tc>
        <w:tc>
          <w:tcPr>
            <w:tcW w:w="2661" w:type="dxa"/>
            <w:gridSpan w:val="3"/>
            <w:tcBorders>
              <w:top w:val="nil"/>
              <w:left w:val="nil"/>
              <w:bottom w:val="nil"/>
              <w:right w:val="nil"/>
            </w:tcBorders>
            <w:shd w:val="clear" w:color="auto" w:fill="auto"/>
            <w:noWrap/>
            <w:hideMark/>
          </w:tcPr>
          <w:p w:rsidR="000B3880" w:rsidRPr="00502467" w:rsidP="00CD4ED8" w14:paraId="12758B32" w14:textId="1C64A6D0">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Eleving Stella AS</w:t>
            </w:r>
            <w:r>
              <w:rPr>
                <w:rFonts w:ascii="Arial Narrow" w:eastAsia="Arial Narrow" w:hAnsi="Arial Narrow" w:cs="Arial Narrow"/>
                <w:color w:val="000000"/>
                <w:sz w:val="16"/>
                <w:szCs w:val="16"/>
              </w:rPr>
              <w:t xml:space="preserve"> </w:t>
            </w:r>
            <w:r w:rsidRPr="00DB0BAC">
              <w:rPr>
                <w:rFonts w:ascii="Arial Narrow" w:eastAsia="Arial Narrow" w:hAnsi="Arial Narrow" w:cs="Arial Narrow"/>
                <w:color w:val="000000"/>
                <w:sz w:val="16"/>
                <w:szCs w:val="16"/>
              </w:rPr>
              <w:t xml:space="preserve">(Mogo Eastern Europe </w:t>
            </w:r>
            <w:r>
              <w:rPr>
                <w:rFonts w:ascii="Arial Narrow" w:eastAsia="Arial Narrow" w:hAnsi="Arial Narrow" w:cs="Arial Narrow"/>
                <w:color w:val="000000"/>
                <w:sz w:val="16"/>
                <w:szCs w:val="16"/>
              </w:rPr>
              <w:t>AS</w:t>
            </w:r>
            <w:r w:rsidRPr="00DB0BAC">
              <w:rPr>
                <w:rFonts w:ascii="Arial Narrow" w:eastAsia="Arial Narrow" w:hAnsi="Arial Narrow" w:cs="Arial Narrow"/>
                <w:color w:val="000000"/>
                <w:sz w:val="16"/>
                <w:szCs w:val="16"/>
              </w:rPr>
              <w:t>)</w:t>
            </w:r>
            <w:r w:rsidRPr="00502467">
              <w:rPr>
                <w:rFonts w:ascii="Arial Narrow" w:eastAsia="Arial Narrow" w:hAnsi="Arial Narrow" w:cs="Arial Narrow"/>
                <w:color w:val="000000"/>
                <w:sz w:val="16"/>
                <w:szCs w:val="16"/>
              </w:rPr>
              <w:t xml:space="preserve"> </w:t>
            </w:r>
            <w:r>
              <w:rPr>
                <w:rFonts w:ascii="Arial Narrow" w:eastAsia="Arial Narrow" w:hAnsi="Arial Narrow" w:cs="Arial Narrow"/>
                <w:color w:val="000000"/>
                <w:sz w:val="16"/>
                <w:szCs w:val="16"/>
              </w:rPr>
              <w:t>no 01</w:t>
            </w:r>
            <w:r w:rsidRPr="00502467">
              <w:rPr>
                <w:rFonts w:ascii="Arial Narrow" w:eastAsia="Arial Narrow" w:hAnsi="Arial Narrow" w:cs="Arial Narrow"/>
                <w:color w:val="000000"/>
                <w:sz w:val="16"/>
                <w:szCs w:val="16"/>
              </w:rPr>
              <w:t>.</w:t>
            </w:r>
            <w:r>
              <w:rPr>
                <w:rFonts w:ascii="Arial Narrow" w:eastAsia="Arial Narrow" w:hAnsi="Arial Narrow" w:cs="Arial Narrow"/>
                <w:color w:val="000000"/>
                <w:sz w:val="16"/>
                <w:szCs w:val="16"/>
              </w:rPr>
              <w:t>09</w:t>
            </w:r>
            <w:r w:rsidRPr="00502467">
              <w:rPr>
                <w:rFonts w:ascii="Arial Narrow" w:eastAsia="Arial Narrow" w:hAnsi="Arial Narrow" w:cs="Arial Narrow"/>
                <w:color w:val="000000"/>
                <w:sz w:val="16"/>
                <w:szCs w:val="16"/>
              </w:rPr>
              <w:t>.2021.</w:t>
            </w:r>
          </w:p>
        </w:tc>
        <w:tc>
          <w:tcPr>
            <w:tcW w:w="826" w:type="dxa"/>
            <w:tcBorders>
              <w:top w:val="nil"/>
              <w:left w:val="nil"/>
              <w:bottom w:val="nil"/>
              <w:right w:val="nil"/>
            </w:tcBorders>
            <w:shd w:val="clear" w:color="auto" w:fill="auto"/>
            <w:noWrap/>
            <w:hideMark/>
          </w:tcPr>
          <w:p w:rsidR="000B3880" w:rsidRPr="00502467" w:rsidP="00CD4ED8" w14:paraId="4269C1A6" w14:textId="77777777">
            <w:pPr>
              <w:spacing w:after="0" w:line="240" w:lineRule="auto"/>
              <w:rPr>
                <w:rFonts w:ascii="Arial Narrow" w:eastAsia="Arial Narrow" w:hAnsi="Arial Narrow" w:cs="Arial Narrow"/>
                <w:color w:val="000000"/>
                <w:sz w:val="16"/>
                <w:szCs w:val="16"/>
              </w:rPr>
            </w:pPr>
          </w:p>
        </w:tc>
        <w:tc>
          <w:tcPr>
            <w:tcW w:w="1499" w:type="dxa"/>
            <w:tcBorders>
              <w:top w:val="nil"/>
              <w:left w:val="nil"/>
              <w:bottom w:val="nil"/>
              <w:right w:val="nil"/>
            </w:tcBorders>
            <w:shd w:val="clear" w:color="auto" w:fill="auto"/>
            <w:noWrap/>
            <w:hideMark/>
          </w:tcPr>
          <w:p w:rsidR="000B3880" w:rsidRPr="00502467" w:rsidP="00CD4ED8" w14:paraId="6E36D7E4" w14:textId="77777777">
            <w:pPr>
              <w:spacing w:after="0" w:line="240" w:lineRule="auto"/>
              <w:jc w:val="right"/>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98%</w:t>
            </w:r>
          </w:p>
        </w:tc>
        <w:tc>
          <w:tcPr>
            <w:tcW w:w="802" w:type="dxa"/>
            <w:tcBorders>
              <w:top w:val="nil"/>
              <w:left w:val="nil"/>
              <w:bottom w:val="nil"/>
              <w:right w:val="nil"/>
            </w:tcBorders>
            <w:shd w:val="clear" w:color="auto" w:fill="auto"/>
            <w:noWrap/>
            <w:hideMark/>
          </w:tcPr>
          <w:p w:rsidR="000B3880" w:rsidRPr="00502467" w:rsidP="00CD4ED8" w14:paraId="490536D2" w14:textId="77777777">
            <w:pPr>
              <w:spacing w:after="0" w:line="240" w:lineRule="auto"/>
              <w:jc w:val="right"/>
              <w:rPr>
                <w:rFonts w:ascii="Arial Narrow" w:eastAsia="Arial Narrow" w:hAnsi="Arial Narrow" w:cs="Arial Narrow"/>
                <w:color w:val="000000"/>
                <w:sz w:val="16"/>
                <w:szCs w:val="16"/>
              </w:rPr>
            </w:pPr>
          </w:p>
        </w:tc>
        <w:tc>
          <w:tcPr>
            <w:tcW w:w="861" w:type="dxa"/>
            <w:tcBorders>
              <w:top w:val="nil"/>
              <w:left w:val="nil"/>
              <w:bottom w:val="nil"/>
              <w:right w:val="nil"/>
            </w:tcBorders>
            <w:shd w:val="clear" w:color="auto" w:fill="auto"/>
            <w:noWrap/>
            <w:hideMark/>
          </w:tcPr>
          <w:p w:rsidR="000B3880" w:rsidRPr="00502467" w:rsidP="00CD4ED8" w14:paraId="6814ECD4" w14:textId="77777777">
            <w:pPr>
              <w:spacing w:after="0" w:line="240" w:lineRule="auto"/>
              <w:rPr>
                <w:rFonts w:ascii="Arial Narrow" w:eastAsia="Arial Narrow" w:hAnsi="Arial Narrow" w:cs="Arial Narrow"/>
                <w:sz w:val="16"/>
                <w:szCs w:val="16"/>
              </w:rPr>
            </w:pPr>
          </w:p>
        </w:tc>
      </w:tr>
      <w:tr w14:paraId="5AEDCF1A"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tcPr>
          <w:p w:rsidR="000B3880" w:rsidRPr="00502467" w:rsidP="00CD4ED8" w14:paraId="5D124098"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tcPr>
          <w:p w:rsidR="000B3880" w:rsidRPr="00502467" w:rsidP="00CD4ED8" w14:paraId="2044EB53"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tcPr>
          <w:p w:rsidR="000B3880" w:rsidRPr="00502467" w:rsidP="00CD4ED8" w14:paraId="0F049C68" w14:textId="77777777">
            <w:pPr>
              <w:spacing w:after="0" w:line="240" w:lineRule="auto"/>
              <w:rPr>
                <w:rFonts w:ascii="Arial Narrow" w:eastAsia="Arial Narrow" w:hAnsi="Arial Narrow" w:cs="Arial Narrow"/>
                <w:sz w:val="16"/>
                <w:szCs w:val="16"/>
              </w:rPr>
            </w:pPr>
          </w:p>
        </w:tc>
        <w:tc>
          <w:tcPr>
            <w:tcW w:w="2661" w:type="dxa"/>
            <w:gridSpan w:val="3"/>
            <w:tcBorders>
              <w:top w:val="nil"/>
              <w:left w:val="nil"/>
              <w:bottom w:val="nil"/>
              <w:right w:val="nil"/>
            </w:tcBorders>
            <w:shd w:val="clear" w:color="auto" w:fill="auto"/>
            <w:noWrap/>
          </w:tcPr>
          <w:p w:rsidR="000B3880" w:rsidRPr="00502467" w:rsidP="00CD4ED8" w14:paraId="3EF0FFAC" w14:textId="2149CE98">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Eleving Luna AS</w:t>
            </w:r>
            <w:r>
              <w:rPr>
                <w:rFonts w:ascii="Arial Narrow" w:eastAsia="Arial Narrow" w:hAnsi="Arial Narrow" w:cs="Arial Narrow"/>
                <w:color w:val="000000"/>
                <w:sz w:val="16"/>
                <w:szCs w:val="16"/>
              </w:rPr>
              <w:t xml:space="preserve"> </w:t>
            </w:r>
            <w:r w:rsidRPr="00DB0BAC">
              <w:rPr>
                <w:rFonts w:ascii="Arial Narrow" w:eastAsia="Arial Narrow" w:hAnsi="Arial Narrow" w:cs="Arial Narrow"/>
                <w:color w:val="000000"/>
                <w:sz w:val="16"/>
                <w:szCs w:val="16"/>
              </w:rPr>
              <w:t xml:space="preserve">(Mogo Baltics and Caucasus </w:t>
            </w:r>
            <w:r>
              <w:rPr>
                <w:rFonts w:ascii="Arial Narrow" w:eastAsia="Arial Narrow" w:hAnsi="Arial Narrow" w:cs="Arial Narrow"/>
                <w:color w:val="000000"/>
                <w:sz w:val="16"/>
                <w:szCs w:val="16"/>
              </w:rPr>
              <w:t>AS</w:t>
            </w:r>
            <w:r w:rsidRPr="00DB0BAC">
              <w:rPr>
                <w:rFonts w:ascii="Arial Narrow" w:eastAsia="Arial Narrow" w:hAnsi="Arial Narrow" w:cs="Arial Narrow"/>
                <w:color w:val="000000"/>
                <w:sz w:val="16"/>
                <w:szCs w:val="16"/>
              </w:rPr>
              <w:t>)</w:t>
            </w:r>
            <w:r w:rsidRPr="00502467">
              <w:rPr>
                <w:rFonts w:ascii="Arial Narrow" w:eastAsia="Arial Narrow" w:hAnsi="Arial Narrow" w:cs="Arial Narrow"/>
                <w:color w:val="000000"/>
                <w:sz w:val="16"/>
                <w:szCs w:val="16"/>
              </w:rPr>
              <w:t xml:space="preserve"> līdz </w:t>
            </w:r>
            <w:r>
              <w:rPr>
                <w:rFonts w:ascii="Arial Narrow" w:eastAsia="Arial Narrow" w:hAnsi="Arial Narrow" w:cs="Arial Narrow"/>
                <w:color w:val="000000"/>
                <w:sz w:val="16"/>
                <w:szCs w:val="16"/>
              </w:rPr>
              <w:t>31</w:t>
            </w:r>
            <w:r w:rsidRPr="00502467">
              <w:rPr>
                <w:rFonts w:ascii="Arial Narrow" w:eastAsia="Arial Narrow" w:hAnsi="Arial Narrow" w:cs="Arial Narrow"/>
                <w:color w:val="000000"/>
                <w:sz w:val="16"/>
                <w:szCs w:val="16"/>
              </w:rPr>
              <w:t>.</w:t>
            </w:r>
            <w:r>
              <w:rPr>
                <w:rFonts w:ascii="Arial Narrow" w:eastAsia="Arial Narrow" w:hAnsi="Arial Narrow" w:cs="Arial Narrow"/>
                <w:color w:val="000000"/>
                <w:sz w:val="16"/>
                <w:szCs w:val="16"/>
              </w:rPr>
              <w:t>08</w:t>
            </w:r>
            <w:r w:rsidRPr="00502467">
              <w:rPr>
                <w:rFonts w:ascii="Arial Narrow" w:eastAsia="Arial Narrow" w:hAnsi="Arial Narrow" w:cs="Arial Narrow"/>
                <w:color w:val="000000"/>
                <w:sz w:val="16"/>
                <w:szCs w:val="16"/>
              </w:rPr>
              <w:t>.2021.</w:t>
            </w:r>
          </w:p>
        </w:tc>
        <w:tc>
          <w:tcPr>
            <w:tcW w:w="826" w:type="dxa"/>
            <w:tcBorders>
              <w:top w:val="nil"/>
              <w:left w:val="nil"/>
              <w:bottom w:val="nil"/>
              <w:right w:val="nil"/>
            </w:tcBorders>
            <w:shd w:val="clear" w:color="auto" w:fill="auto"/>
            <w:noWrap/>
          </w:tcPr>
          <w:p w:rsidR="000B3880" w:rsidRPr="00502467" w:rsidP="00CD4ED8" w14:paraId="3E8D44AC" w14:textId="77777777">
            <w:pPr>
              <w:spacing w:after="0" w:line="240" w:lineRule="auto"/>
              <w:rPr>
                <w:rFonts w:ascii="Arial Narrow" w:eastAsia="Arial Narrow" w:hAnsi="Arial Narrow" w:cs="Arial Narrow"/>
                <w:color w:val="000000"/>
                <w:sz w:val="16"/>
                <w:szCs w:val="16"/>
              </w:rPr>
            </w:pPr>
          </w:p>
        </w:tc>
        <w:tc>
          <w:tcPr>
            <w:tcW w:w="1499" w:type="dxa"/>
            <w:tcBorders>
              <w:top w:val="nil"/>
              <w:left w:val="nil"/>
              <w:bottom w:val="nil"/>
              <w:right w:val="nil"/>
            </w:tcBorders>
            <w:shd w:val="clear" w:color="auto" w:fill="auto"/>
            <w:noWrap/>
          </w:tcPr>
          <w:p w:rsidR="000B3880" w:rsidRPr="00502467" w:rsidP="00CD4ED8" w14:paraId="4C90567F" w14:textId="77777777">
            <w:pPr>
              <w:spacing w:after="0" w:line="240" w:lineRule="auto"/>
              <w:jc w:val="right"/>
              <w:rPr>
                <w:rFonts w:ascii="Arial Narrow" w:eastAsia="Arial Narrow" w:hAnsi="Arial Narrow" w:cs="Arial Narrow"/>
                <w:color w:val="000000"/>
                <w:sz w:val="16"/>
                <w:szCs w:val="16"/>
              </w:rPr>
            </w:pPr>
            <w:r>
              <w:rPr>
                <w:rFonts w:ascii="Arial Narrow" w:eastAsia="Arial Narrow" w:hAnsi="Arial Narrow" w:cs="Arial Narrow"/>
                <w:color w:val="000000"/>
                <w:sz w:val="16"/>
                <w:szCs w:val="16"/>
              </w:rPr>
              <w:t>98</w:t>
            </w:r>
            <w:r w:rsidRPr="00502467">
              <w:rPr>
                <w:rFonts w:ascii="Arial Narrow" w:eastAsia="Arial Narrow" w:hAnsi="Arial Narrow" w:cs="Arial Narrow"/>
                <w:color w:val="000000"/>
                <w:sz w:val="16"/>
                <w:szCs w:val="16"/>
              </w:rPr>
              <w:t>%</w:t>
            </w:r>
          </w:p>
        </w:tc>
        <w:tc>
          <w:tcPr>
            <w:tcW w:w="802" w:type="dxa"/>
            <w:tcBorders>
              <w:top w:val="nil"/>
              <w:left w:val="nil"/>
              <w:bottom w:val="nil"/>
              <w:right w:val="nil"/>
            </w:tcBorders>
            <w:shd w:val="clear" w:color="auto" w:fill="auto"/>
            <w:noWrap/>
          </w:tcPr>
          <w:p w:rsidR="000B3880" w:rsidRPr="00502467" w:rsidP="00CD4ED8" w14:paraId="58532213" w14:textId="77777777">
            <w:pPr>
              <w:spacing w:after="0" w:line="240" w:lineRule="auto"/>
              <w:jc w:val="right"/>
              <w:rPr>
                <w:rFonts w:ascii="Arial Narrow" w:eastAsia="Arial Narrow" w:hAnsi="Arial Narrow" w:cs="Arial Narrow"/>
                <w:color w:val="000000"/>
                <w:sz w:val="16"/>
                <w:szCs w:val="16"/>
              </w:rPr>
            </w:pPr>
          </w:p>
        </w:tc>
        <w:tc>
          <w:tcPr>
            <w:tcW w:w="861" w:type="dxa"/>
            <w:tcBorders>
              <w:top w:val="nil"/>
              <w:left w:val="nil"/>
              <w:bottom w:val="nil"/>
              <w:right w:val="nil"/>
            </w:tcBorders>
            <w:shd w:val="clear" w:color="auto" w:fill="auto"/>
            <w:noWrap/>
          </w:tcPr>
          <w:p w:rsidR="000B3880" w:rsidRPr="00502467" w:rsidP="00CD4ED8" w14:paraId="084F07E0" w14:textId="77777777">
            <w:pPr>
              <w:spacing w:after="0" w:line="240" w:lineRule="auto"/>
              <w:rPr>
                <w:rFonts w:ascii="Arial Narrow" w:eastAsia="Arial Narrow" w:hAnsi="Arial Narrow" w:cs="Arial Narrow"/>
                <w:sz w:val="16"/>
                <w:szCs w:val="16"/>
              </w:rPr>
            </w:pPr>
          </w:p>
        </w:tc>
      </w:tr>
      <w:tr w14:paraId="4692A47C"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702EF128"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53E68E21"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4EE778E8" w14:textId="77777777">
            <w:pPr>
              <w:spacing w:after="0" w:line="240" w:lineRule="auto"/>
              <w:rPr>
                <w:rFonts w:ascii="Arial Narrow" w:eastAsia="Arial Narrow" w:hAnsi="Arial Narrow" w:cs="Arial Narrow"/>
                <w:sz w:val="16"/>
                <w:szCs w:val="16"/>
              </w:rPr>
            </w:pPr>
          </w:p>
        </w:tc>
        <w:tc>
          <w:tcPr>
            <w:tcW w:w="1191" w:type="dxa"/>
            <w:tcBorders>
              <w:top w:val="nil"/>
              <w:left w:val="nil"/>
              <w:bottom w:val="nil"/>
              <w:right w:val="nil"/>
            </w:tcBorders>
            <w:shd w:val="clear" w:color="auto" w:fill="auto"/>
            <w:noWrap/>
            <w:hideMark/>
          </w:tcPr>
          <w:p w:rsidR="000B3880" w:rsidRPr="00502467" w:rsidP="00CD4ED8" w14:paraId="21162BDB"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Pārējie</w:t>
            </w:r>
          </w:p>
        </w:tc>
        <w:tc>
          <w:tcPr>
            <w:tcW w:w="681" w:type="dxa"/>
            <w:tcBorders>
              <w:top w:val="nil"/>
              <w:left w:val="nil"/>
              <w:bottom w:val="nil"/>
              <w:right w:val="nil"/>
            </w:tcBorders>
            <w:shd w:val="clear" w:color="auto" w:fill="auto"/>
            <w:noWrap/>
            <w:hideMark/>
          </w:tcPr>
          <w:p w:rsidR="000B3880" w:rsidRPr="00502467" w:rsidP="00CD4ED8" w14:paraId="6A9D46A6" w14:textId="77777777">
            <w:pPr>
              <w:spacing w:after="0" w:line="240" w:lineRule="auto"/>
              <w:rPr>
                <w:rFonts w:ascii="Arial Narrow" w:eastAsia="Arial Narrow" w:hAnsi="Arial Narrow" w:cs="Arial Narrow"/>
                <w:color w:val="000000"/>
                <w:sz w:val="16"/>
                <w:szCs w:val="16"/>
              </w:rPr>
            </w:pPr>
          </w:p>
        </w:tc>
        <w:tc>
          <w:tcPr>
            <w:tcW w:w="789" w:type="dxa"/>
            <w:tcBorders>
              <w:top w:val="nil"/>
              <w:left w:val="nil"/>
              <w:bottom w:val="nil"/>
              <w:right w:val="nil"/>
            </w:tcBorders>
            <w:shd w:val="clear" w:color="auto" w:fill="auto"/>
            <w:noWrap/>
            <w:hideMark/>
          </w:tcPr>
          <w:p w:rsidR="000B3880" w:rsidRPr="00502467" w:rsidP="00CD4ED8" w14:paraId="2EAC4332" w14:textId="77777777">
            <w:pPr>
              <w:spacing w:after="0" w:line="240" w:lineRule="auto"/>
              <w:rPr>
                <w:rFonts w:ascii="Arial Narrow" w:eastAsia="Arial Narrow" w:hAnsi="Arial Narrow" w:cs="Arial Narrow"/>
                <w:sz w:val="16"/>
                <w:szCs w:val="16"/>
              </w:rPr>
            </w:pPr>
          </w:p>
        </w:tc>
        <w:tc>
          <w:tcPr>
            <w:tcW w:w="826" w:type="dxa"/>
            <w:tcBorders>
              <w:top w:val="nil"/>
              <w:left w:val="nil"/>
              <w:bottom w:val="nil"/>
              <w:right w:val="nil"/>
            </w:tcBorders>
            <w:shd w:val="clear" w:color="auto" w:fill="auto"/>
            <w:noWrap/>
            <w:hideMark/>
          </w:tcPr>
          <w:p w:rsidR="000B3880" w:rsidRPr="00502467" w:rsidP="00CD4ED8" w14:paraId="219A966E"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4289B574" w14:textId="77777777">
            <w:pPr>
              <w:spacing w:after="0" w:line="240" w:lineRule="auto"/>
              <w:jc w:val="right"/>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2%</w:t>
            </w:r>
          </w:p>
        </w:tc>
        <w:tc>
          <w:tcPr>
            <w:tcW w:w="802" w:type="dxa"/>
            <w:tcBorders>
              <w:top w:val="nil"/>
              <w:left w:val="nil"/>
              <w:bottom w:val="nil"/>
              <w:right w:val="nil"/>
            </w:tcBorders>
            <w:shd w:val="clear" w:color="auto" w:fill="auto"/>
            <w:noWrap/>
            <w:hideMark/>
          </w:tcPr>
          <w:p w:rsidR="000B3880" w:rsidRPr="00502467" w:rsidP="00CD4ED8" w14:paraId="38030586" w14:textId="77777777">
            <w:pPr>
              <w:spacing w:after="0" w:line="240" w:lineRule="auto"/>
              <w:jc w:val="right"/>
              <w:rPr>
                <w:rFonts w:ascii="Arial Narrow" w:eastAsia="Arial Narrow" w:hAnsi="Arial Narrow" w:cs="Arial Narrow"/>
                <w:color w:val="000000"/>
                <w:sz w:val="16"/>
                <w:szCs w:val="16"/>
              </w:rPr>
            </w:pPr>
          </w:p>
        </w:tc>
        <w:tc>
          <w:tcPr>
            <w:tcW w:w="861" w:type="dxa"/>
            <w:tcBorders>
              <w:top w:val="nil"/>
              <w:left w:val="nil"/>
              <w:bottom w:val="nil"/>
              <w:right w:val="nil"/>
            </w:tcBorders>
            <w:shd w:val="clear" w:color="auto" w:fill="auto"/>
            <w:noWrap/>
            <w:hideMark/>
          </w:tcPr>
          <w:p w:rsidR="000B3880" w:rsidRPr="00502467" w:rsidP="00CD4ED8" w14:paraId="66F7AC1C" w14:textId="77777777">
            <w:pPr>
              <w:spacing w:after="0" w:line="240" w:lineRule="auto"/>
              <w:rPr>
                <w:rFonts w:ascii="Arial Narrow" w:eastAsia="Arial Narrow" w:hAnsi="Arial Narrow" w:cs="Arial Narrow"/>
                <w:sz w:val="16"/>
                <w:szCs w:val="16"/>
              </w:rPr>
            </w:pPr>
          </w:p>
        </w:tc>
      </w:tr>
      <w:tr w14:paraId="0B0698BE"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02BCFB9F"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270DBCAF"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550C48B6" w14:textId="77777777">
            <w:pPr>
              <w:spacing w:after="0" w:line="240" w:lineRule="auto"/>
              <w:rPr>
                <w:rFonts w:ascii="Arial Narrow" w:eastAsia="Arial Narrow" w:hAnsi="Arial Narrow" w:cs="Arial Narrow"/>
                <w:sz w:val="16"/>
                <w:szCs w:val="16"/>
              </w:rPr>
            </w:pPr>
          </w:p>
        </w:tc>
        <w:tc>
          <w:tcPr>
            <w:tcW w:w="1191" w:type="dxa"/>
            <w:tcBorders>
              <w:top w:val="nil"/>
              <w:left w:val="nil"/>
              <w:bottom w:val="nil"/>
              <w:right w:val="nil"/>
            </w:tcBorders>
            <w:shd w:val="clear" w:color="auto" w:fill="auto"/>
            <w:noWrap/>
            <w:hideMark/>
          </w:tcPr>
          <w:p w:rsidR="000B3880" w:rsidRPr="00502467" w:rsidP="00CD4ED8" w14:paraId="534E555E" w14:textId="77777777">
            <w:pPr>
              <w:spacing w:after="0" w:line="240" w:lineRule="auto"/>
              <w:rPr>
                <w:rFonts w:ascii="Arial Narrow" w:eastAsia="Arial Narrow" w:hAnsi="Arial Narrow" w:cs="Arial Narrow"/>
                <w:b/>
                <w:bCs/>
                <w:color w:val="000000"/>
                <w:sz w:val="16"/>
                <w:szCs w:val="16"/>
              </w:rPr>
            </w:pPr>
            <w:r w:rsidRPr="00502467">
              <w:rPr>
                <w:rFonts w:ascii="Arial Narrow" w:eastAsia="Arial Narrow" w:hAnsi="Arial Narrow" w:cs="Arial Narrow"/>
                <w:b/>
                <w:bCs/>
                <w:color w:val="000000"/>
                <w:sz w:val="16"/>
                <w:szCs w:val="16"/>
              </w:rPr>
              <w:t>KOPĀ</w:t>
            </w:r>
          </w:p>
        </w:tc>
        <w:tc>
          <w:tcPr>
            <w:tcW w:w="681" w:type="dxa"/>
            <w:tcBorders>
              <w:top w:val="nil"/>
              <w:left w:val="nil"/>
              <w:bottom w:val="nil"/>
              <w:right w:val="nil"/>
            </w:tcBorders>
            <w:shd w:val="clear" w:color="auto" w:fill="auto"/>
            <w:noWrap/>
            <w:hideMark/>
          </w:tcPr>
          <w:p w:rsidR="000B3880" w:rsidRPr="00502467" w:rsidP="00CD4ED8" w14:paraId="7F2DDC86" w14:textId="77777777">
            <w:pPr>
              <w:spacing w:after="0" w:line="240" w:lineRule="auto"/>
              <w:rPr>
                <w:rFonts w:ascii="Arial Narrow" w:eastAsia="Arial Narrow" w:hAnsi="Arial Narrow" w:cs="Arial Narrow"/>
                <w:b/>
                <w:bCs/>
                <w:color w:val="000000"/>
                <w:sz w:val="16"/>
                <w:szCs w:val="16"/>
              </w:rPr>
            </w:pPr>
          </w:p>
        </w:tc>
        <w:tc>
          <w:tcPr>
            <w:tcW w:w="789" w:type="dxa"/>
            <w:tcBorders>
              <w:top w:val="nil"/>
              <w:left w:val="nil"/>
              <w:bottom w:val="nil"/>
              <w:right w:val="nil"/>
            </w:tcBorders>
            <w:shd w:val="clear" w:color="auto" w:fill="auto"/>
            <w:noWrap/>
            <w:hideMark/>
          </w:tcPr>
          <w:p w:rsidR="000B3880" w:rsidRPr="00502467" w:rsidP="00CD4ED8" w14:paraId="1D71F7AB" w14:textId="77777777">
            <w:pPr>
              <w:spacing w:after="0" w:line="240" w:lineRule="auto"/>
              <w:rPr>
                <w:rFonts w:ascii="Arial Narrow" w:eastAsia="Arial Narrow" w:hAnsi="Arial Narrow" w:cs="Arial Narrow"/>
                <w:sz w:val="16"/>
                <w:szCs w:val="16"/>
              </w:rPr>
            </w:pPr>
          </w:p>
        </w:tc>
        <w:tc>
          <w:tcPr>
            <w:tcW w:w="826" w:type="dxa"/>
            <w:tcBorders>
              <w:top w:val="nil"/>
              <w:left w:val="nil"/>
              <w:bottom w:val="nil"/>
              <w:right w:val="nil"/>
            </w:tcBorders>
            <w:shd w:val="clear" w:color="auto" w:fill="auto"/>
            <w:noWrap/>
            <w:hideMark/>
          </w:tcPr>
          <w:p w:rsidR="000B3880" w:rsidRPr="00502467" w:rsidP="00CD4ED8" w14:paraId="38371FAE"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35C737C5" w14:textId="77777777">
            <w:pPr>
              <w:spacing w:after="0" w:line="240" w:lineRule="auto"/>
              <w:jc w:val="right"/>
              <w:rPr>
                <w:rFonts w:ascii="Arial Narrow" w:eastAsia="Arial Narrow" w:hAnsi="Arial Narrow" w:cs="Arial Narrow"/>
                <w:b/>
                <w:bCs/>
                <w:color w:val="000000"/>
                <w:sz w:val="16"/>
                <w:szCs w:val="16"/>
              </w:rPr>
            </w:pPr>
            <w:r w:rsidRPr="00502467">
              <w:rPr>
                <w:rFonts w:ascii="Arial Narrow" w:eastAsia="Arial Narrow" w:hAnsi="Arial Narrow" w:cs="Arial Narrow"/>
                <w:b/>
                <w:bCs/>
                <w:color w:val="000000"/>
                <w:sz w:val="16"/>
                <w:szCs w:val="16"/>
              </w:rPr>
              <w:t>100%</w:t>
            </w:r>
          </w:p>
        </w:tc>
        <w:tc>
          <w:tcPr>
            <w:tcW w:w="802" w:type="dxa"/>
            <w:tcBorders>
              <w:top w:val="nil"/>
              <w:left w:val="nil"/>
              <w:bottom w:val="nil"/>
              <w:right w:val="nil"/>
            </w:tcBorders>
            <w:shd w:val="clear" w:color="auto" w:fill="auto"/>
            <w:noWrap/>
            <w:hideMark/>
          </w:tcPr>
          <w:p w:rsidR="000B3880" w:rsidRPr="00502467" w:rsidP="00CD4ED8" w14:paraId="36B34713" w14:textId="77777777">
            <w:pPr>
              <w:spacing w:after="0" w:line="240" w:lineRule="auto"/>
              <w:jc w:val="right"/>
              <w:rPr>
                <w:rFonts w:ascii="Arial Narrow" w:eastAsia="Arial Narrow" w:hAnsi="Arial Narrow" w:cs="Arial Narrow"/>
                <w:b/>
                <w:bCs/>
                <w:color w:val="000000"/>
                <w:sz w:val="16"/>
                <w:szCs w:val="16"/>
              </w:rPr>
            </w:pPr>
          </w:p>
        </w:tc>
        <w:tc>
          <w:tcPr>
            <w:tcW w:w="861" w:type="dxa"/>
            <w:tcBorders>
              <w:top w:val="nil"/>
              <w:left w:val="nil"/>
              <w:bottom w:val="nil"/>
              <w:right w:val="nil"/>
            </w:tcBorders>
            <w:shd w:val="clear" w:color="auto" w:fill="auto"/>
            <w:noWrap/>
            <w:hideMark/>
          </w:tcPr>
          <w:p w:rsidR="000B3880" w:rsidRPr="00502467" w:rsidP="00CD4ED8" w14:paraId="16BA7AD2" w14:textId="77777777">
            <w:pPr>
              <w:spacing w:after="0" w:line="240" w:lineRule="auto"/>
              <w:rPr>
                <w:rFonts w:ascii="Arial Narrow" w:eastAsia="Arial Narrow" w:hAnsi="Arial Narrow" w:cs="Arial Narrow"/>
                <w:sz w:val="16"/>
                <w:szCs w:val="16"/>
              </w:rPr>
            </w:pPr>
          </w:p>
        </w:tc>
      </w:tr>
      <w:tr w14:paraId="4CC0A6E5"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171E6B52"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0507E868"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1B6B996D" w14:textId="77777777">
            <w:pPr>
              <w:spacing w:after="0" w:line="240" w:lineRule="auto"/>
              <w:rPr>
                <w:rFonts w:ascii="Arial Narrow" w:eastAsia="Arial Narrow" w:hAnsi="Arial Narrow" w:cs="Arial Narrow"/>
                <w:sz w:val="16"/>
                <w:szCs w:val="16"/>
              </w:rPr>
            </w:pPr>
          </w:p>
        </w:tc>
        <w:tc>
          <w:tcPr>
            <w:tcW w:w="1191" w:type="dxa"/>
            <w:tcBorders>
              <w:top w:val="nil"/>
              <w:left w:val="nil"/>
              <w:bottom w:val="nil"/>
              <w:right w:val="nil"/>
            </w:tcBorders>
            <w:shd w:val="clear" w:color="auto" w:fill="auto"/>
            <w:noWrap/>
            <w:hideMark/>
          </w:tcPr>
          <w:p w:rsidR="000B3880" w:rsidRPr="00502467" w:rsidP="00CD4ED8" w14:paraId="09E9B48E" w14:textId="77777777">
            <w:pPr>
              <w:spacing w:after="0" w:line="240" w:lineRule="auto"/>
              <w:rPr>
                <w:rFonts w:ascii="Arial Narrow" w:eastAsia="Arial Narrow" w:hAnsi="Arial Narrow" w:cs="Arial Narrow"/>
                <w:sz w:val="16"/>
                <w:szCs w:val="16"/>
              </w:rPr>
            </w:pPr>
          </w:p>
        </w:tc>
        <w:tc>
          <w:tcPr>
            <w:tcW w:w="681" w:type="dxa"/>
            <w:tcBorders>
              <w:top w:val="nil"/>
              <w:left w:val="nil"/>
              <w:bottom w:val="nil"/>
              <w:right w:val="nil"/>
            </w:tcBorders>
            <w:shd w:val="clear" w:color="auto" w:fill="auto"/>
            <w:noWrap/>
            <w:hideMark/>
          </w:tcPr>
          <w:p w:rsidR="000B3880" w:rsidRPr="00502467" w:rsidP="00CD4ED8" w14:paraId="65C069C6" w14:textId="77777777">
            <w:pPr>
              <w:spacing w:after="0" w:line="240" w:lineRule="auto"/>
              <w:rPr>
                <w:rFonts w:ascii="Arial Narrow" w:eastAsia="Arial Narrow" w:hAnsi="Arial Narrow" w:cs="Arial Narrow"/>
                <w:sz w:val="16"/>
                <w:szCs w:val="16"/>
              </w:rPr>
            </w:pPr>
          </w:p>
        </w:tc>
        <w:tc>
          <w:tcPr>
            <w:tcW w:w="789" w:type="dxa"/>
            <w:tcBorders>
              <w:top w:val="nil"/>
              <w:left w:val="nil"/>
              <w:bottom w:val="nil"/>
              <w:right w:val="nil"/>
            </w:tcBorders>
            <w:shd w:val="clear" w:color="auto" w:fill="auto"/>
            <w:noWrap/>
            <w:hideMark/>
          </w:tcPr>
          <w:p w:rsidR="000B3880" w:rsidRPr="00502467" w:rsidP="00CD4ED8" w14:paraId="21A6C7FE" w14:textId="77777777">
            <w:pPr>
              <w:spacing w:after="0" w:line="240" w:lineRule="auto"/>
              <w:rPr>
                <w:rFonts w:ascii="Arial Narrow" w:eastAsia="Arial Narrow" w:hAnsi="Arial Narrow" w:cs="Arial Narrow"/>
                <w:sz w:val="16"/>
                <w:szCs w:val="16"/>
              </w:rPr>
            </w:pPr>
          </w:p>
        </w:tc>
        <w:tc>
          <w:tcPr>
            <w:tcW w:w="826" w:type="dxa"/>
            <w:tcBorders>
              <w:top w:val="nil"/>
              <w:left w:val="nil"/>
              <w:bottom w:val="nil"/>
              <w:right w:val="nil"/>
            </w:tcBorders>
            <w:shd w:val="clear" w:color="auto" w:fill="auto"/>
            <w:noWrap/>
            <w:hideMark/>
          </w:tcPr>
          <w:p w:rsidR="000B3880" w:rsidRPr="00502467" w:rsidP="00CD4ED8" w14:paraId="165326CE"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0F0463E9"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3679A887"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7443166F" w14:textId="77777777">
            <w:pPr>
              <w:spacing w:after="0" w:line="240" w:lineRule="auto"/>
              <w:rPr>
                <w:rFonts w:ascii="Arial Narrow" w:eastAsia="Arial Narrow" w:hAnsi="Arial Narrow" w:cs="Arial Narrow"/>
                <w:sz w:val="16"/>
                <w:szCs w:val="16"/>
              </w:rPr>
            </w:pPr>
          </w:p>
        </w:tc>
      </w:tr>
      <w:tr w14:paraId="4CD11335"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15CF81BA"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Koncerna mātes sabiedrība</w:t>
            </w:r>
          </w:p>
        </w:tc>
        <w:tc>
          <w:tcPr>
            <w:tcW w:w="224" w:type="dxa"/>
            <w:tcBorders>
              <w:top w:val="nil"/>
              <w:left w:val="nil"/>
              <w:bottom w:val="nil"/>
              <w:right w:val="nil"/>
            </w:tcBorders>
            <w:shd w:val="clear" w:color="auto" w:fill="auto"/>
            <w:noWrap/>
            <w:hideMark/>
          </w:tcPr>
          <w:p w:rsidR="000B3880" w:rsidRPr="00502467" w:rsidP="00CD4ED8" w14:paraId="54B06A93" w14:textId="77777777">
            <w:pPr>
              <w:spacing w:after="0" w:line="240" w:lineRule="auto"/>
              <w:rPr>
                <w:rFonts w:ascii="Arial Narrow" w:eastAsia="Arial Narrow" w:hAnsi="Arial Narrow" w:cs="Arial Narrow"/>
                <w:color w:val="000000"/>
                <w:sz w:val="16"/>
                <w:szCs w:val="16"/>
              </w:rPr>
            </w:pPr>
          </w:p>
        </w:tc>
        <w:tc>
          <w:tcPr>
            <w:tcW w:w="224" w:type="dxa"/>
            <w:tcBorders>
              <w:top w:val="nil"/>
              <w:left w:val="nil"/>
              <w:bottom w:val="nil"/>
              <w:right w:val="nil"/>
            </w:tcBorders>
            <w:shd w:val="clear" w:color="auto" w:fill="auto"/>
            <w:noWrap/>
            <w:hideMark/>
          </w:tcPr>
          <w:p w:rsidR="000B3880" w:rsidRPr="00502467" w:rsidP="00CD4ED8" w14:paraId="0EF5777A" w14:textId="77777777">
            <w:pPr>
              <w:spacing w:after="0" w:line="240" w:lineRule="auto"/>
              <w:rPr>
                <w:rFonts w:ascii="Arial Narrow" w:eastAsia="Arial Narrow" w:hAnsi="Arial Narrow" w:cs="Arial Narrow"/>
                <w:sz w:val="16"/>
                <w:szCs w:val="16"/>
              </w:rPr>
            </w:pPr>
          </w:p>
        </w:tc>
        <w:tc>
          <w:tcPr>
            <w:tcW w:w="2661" w:type="dxa"/>
            <w:gridSpan w:val="3"/>
            <w:tcBorders>
              <w:top w:val="nil"/>
              <w:left w:val="nil"/>
              <w:bottom w:val="nil"/>
              <w:right w:val="nil"/>
            </w:tcBorders>
            <w:shd w:val="clear" w:color="auto" w:fill="auto"/>
            <w:noWrap/>
            <w:hideMark/>
          </w:tcPr>
          <w:p w:rsidR="000B3880" w:rsidRPr="00996867" w:rsidP="00CD4ED8" w14:paraId="79F53046" w14:textId="77777777">
            <w:pPr>
              <w:spacing w:after="0" w:line="240" w:lineRule="auto"/>
              <w:rPr>
                <w:rFonts w:ascii="Arial Narrow" w:eastAsia="Arial Narrow" w:hAnsi="Arial Narrow" w:cs="Arial Narrow"/>
                <w:color w:val="000000"/>
                <w:sz w:val="16"/>
                <w:szCs w:val="16"/>
              </w:rPr>
            </w:pPr>
            <w:bookmarkStart w:id="21" w:name="XBRL_CS_8a347405439e4c189938202367587704"/>
            <w:bookmarkEnd w:id="21"/>
            <w:bookmarkStart w:id="22" w:name="8a347405439e4c189938202367587704"/>
            <w:r w:rsidRPr="00996867">
              <w:rPr>
                <w:rFonts w:ascii="Arial Narrow" w:eastAsia="Arial Narrow" w:hAnsi="Arial Narrow" w:cs="Arial Narrow"/>
                <w:color w:val="000000"/>
                <w:sz w:val="16"/>
                <w:szCs w:val="16"/>
              </w:rPr>
              <w:t>Eleving Group S.A.</w:t>
            </w:r>
            <w:r>
              <w:rPr>
                <w:rFonts w:ascii="Arial Narrow" w:eastAsia="Arial Narrow" w:hAnsi="Arial Narrow" w:cs="Arial Narrow"/>
                <w:color w:val="000000"/>
                <w:sz w:val="16"/>
                <w:szCs w:val="16"/>
              </w:rPr>
              <w:t xml:space="preserve"> </w:t>
            </w:r>
            <w:r w:rsidRPr="00DB0BAC">
              <w:rPr>
                <w:rFonts w:ascii="Arial Narrow" w:eastAsia="Arial Narrow" w:hAnsi="Arial Narrow" w:cs="Arial Narrow"/>
                <w:color w:val="000000"/>
                <w:sz w:val="16"/>
                <w:szCs w:val="16"/>
              </w:rPr>
              <w:t>(Mogo Finance S.A.)</w:t>
            </w:r>
            <w:r>
              <w:rPr>
                <w:rFonts w:ascii="Arial Narrow" w:eastAsia="Arial Narrow" w:hAnsi="Arial Narrow" w:cs="Arial Narrow"/>
                <w:color w:val="000000"/>
                <w:sz w:val="16"/>
                <w:szCs w:val="16"/>
              </w:rPr>
              <w:t xml:space="preserve">, </w:t>
            </w:r>
            <w:r w:rsidRPr="00996867">
              <w:rPr>
                <w:rFonts w:ascii="Arial Narrow" w:eastAsia="Arial Narrow" w:hAnsi="Arial Narrow" w:cs="Arial Narrow"/>
                <w:color w:val="000000"/>
                <w:sz w:val="16"/>
                <w:szCs w:val="16"/>
              </w:rPr>
              <w:t>Luksemburga</w:t>
            </w:r>
            <w:bookmarkStart w:id="23" w:name="XBRL_CE_8a347405439e4c189938202367587704"/>
            <w:bookmarkEnd w:id="22"/>
            <w:bookmarkEnd w:id="23"/>
          </w:p>
        </w:tc>
        <w:tc>
          <w:tcPr>
            <w:tcW w:w="826" w:type="dxa"/>
            <w:tcBorders>
              <w:top w:val="nil"/>
              <w:left w:val="nil"/>
              <w:bottom w:val="nil"/>
              <w:right w:val="nil"/>
            </w:tcBorders>
            <w:shd w:val="clear" w:color="auto" w:fill="auto"/>
            <w:noWrap/>
            <w:hideMark/>
          </w:tcPr>
          <w:p w:rsidR="000B3880" w:rsidRPr="00502467" w:rsidP="00CD4ED8" w14:paraId="4E49ED08" w14:textId="77777777">
            <w:pPr>
              <w:spacing w:after="0" w:line="240" w:lineRule="auto"/>
              <w:rPr>
                <w:rFonts w:ascii="Arial Narrow" w:eastAsia="Arial Narrow" w:hAnsi="Arial Narrow" w:cs="Arial Narrow"/>
                <w:color w:val="000000"/>
                <w:sz w:val="16"/>
                <w:szCs w:val="16"/>
              </w:rPr>
            </w:pPr>
          </w:p>
        </w:tc>
        <w:tc>
          <w:tcPr>
            <w:tcW w:w="1499" w:type="dxa"/>
            <w:tcBorders>
              <w:top w:val="nil"/>
              <w:left w:val="nil"/>
              <w:bottom w:val="nil"/>
              <w:right w:val="nil"/>
            </w:tcBorders>
            <w:shd w:val="clear" w:color="auto" w:fill="auto"/>
            <w:noWrap/>
            <w:hideMark/>
          </w:tcPr>
          <w:p w:rsidR="000B3880" w:rsidRPr="00502467" w:rsidP="00CD4ED8" w14:paraId="051732A3"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65FE4BD0"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67AF5808" w14:textId="77777777">
            <w:pPr>
              <w:spacing w:after="0" w:line="240" w:lineRule="auto"/>
              <w:rPr>
                <w:rFonts w:ascii="Arial Narrow" w:eastAsia="Arial Narrow" w:hAnsi="Arial Narrow" w:cs="Arial Narrow"/>
                <w:sz w:val="16"/>
                <w:szCs w:val="16"/>
              </w:rPr>
            </w:pPr>
          </w:p>
        </w:tc>
      </w:tr>
      <w:tr w14:paraId="79E39E63"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0BDAAC1A"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5F091EBC"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7BED0276" w14:textId="77777777">
            <w:pPr>
              <w:spacing w:after="0" w:line="240" w:lineRule="auto"/>
              <w:rPr>
                <w:rFonts w:ascii="Arial Narrow" w:eastAsia="Arial Narrow" w:hAnsi="Arial Narrow" w:cs="Arial Narrow"/>
                <w:sz w:val="16"/>
                <w:szCs w:val="16"/>
              </w:rPr>
            </w:pPr>
          </w:p>
        </w:tc>
        <w:tc>
          <w:tcPr>
            <w:tcW w:w="1191" w:type="dxa"/>
            <w:tcBorders>
              <w:top w:val="nil"/>
              <w:left w:val="nil"/>
              <w:bottom w:val="nil"/>
              <w:right w:val="nil"/>
            </w:tcBorders>
            <w:shd w:val="clear" w:color="auto" w:fill="auto"/>
            <w:noWrap/>
            <w:hideMark/>
          </w:tcPr>
          <w:p w:rsidR="000B3880" w:rsidRPr="00502467" w:rsidP="00CD4ED8" w14:paraId="4E8465D9" w14:textId="77777777">
            <w:pPr>
              <w:spacing w:after="0" w:line="240" w:lineRule="auto"/>
              <w:rPr>
                <w:rFonts w:ascii="Arial Narrow" w:eastAsia="Arial Narrow" w:hAnsi="Arial Narrow" w:cs="Arial Narrow"/>
                <w:sz w:val="16"/>
                <w:szCs w:val="16"/>
              </w:rPr>
            </w:pPr>
          </w:p>
        </w:tc>
        <w:tc>
          <w:tcPr>
            <w:tcW w:w="681" w:type="dxa"/>
            <w:tcBorders>
              <w:top w:val="nil"/>
              <w:left w:val="nil"/>
              <w:bottom w:val="nil"/>
              <w:right w:val="nil"/>
            </w:tcBorders>
            <w:shd w:val="clear" w:color="auto" w:fill="auto"/>
            <w:noWrap/>
            <w:hideMark/>
          </w:tcPr>
          <w:p w:rsidR="000B3880" w:rsidRPr="00502467" w:rsidP="00CD4ED8" w14:paraId="48440EC6" w14:textId="77777777">
            <w:pPr>
              <w:spacing w:after="0" w:line="240" w:lineRule="auto"/>
              <w:rPr>
                <w:rFonts w:ascii="Arial Narrow" w:eastAsia="Arial Narrow" w:hAnsi="Arial Narrow" w:cs="Arial Narrow"/>
                <w:sz w:val="16"/>
                <w:szCs w:val="16"/>
              </w:rPr>
            </w:pPr>
          </w:p>
        </w:tc>
        <w:tc>
          <w:tcPr>
            <w:tcW w:w="789" w:type="dxa"/>
            <w:tcBorders>
              <w:top w:val="nil"/>
              <w:left w:val="nil"/>
              <w:bottom w:val="nil"/>
              <w:right w:val="nil"/>
            </w:tcBorders>
            <w:shd w:val="clear" w:color="auto" w:fill="auto"/>
            <w:noWrap/>
            <w:hideMark/>
          </w:tcPr>
          <w:p w:rsidR="000B3880" w:rsidRPr="00502467" w:rsidP="00CD4ED8" w14:paraId="75F78CB5" w14:textId="77777777">
            <w:pPr>
              <w:spacing w:after="0" w:line="240" w:lineRule="auto"/>
              <w:rPr>
                <w:rFonts w:ascii="Arial Narrow" w:eastAsia="Arial Narrow" w:hAnsi="Arial Narrow" w:cs="Arial Narrow"/>
                <w:sz w:val="16"/>
                <w:szCs w:val="16"/>
              </w:rPr>
            </w:pPr>
          </w:p>
        </w:tc>
        <w:tc>
          <w:tcPr>
            <w:tcW w:w="826" w:type="dxa"/>
            <w:tcBorders>
              <w:top w:val="nil"/>
              <w:left w:val="nil"/>
              <w:bottom w:val="nil"/>
              <w:right w:val="nil"/>
            </w:tcBorders>
            <w:shd w:val="clear" w:color="auto" w:fill="auto"/>
            <w:noWrap/>
            <w:hideMark/>
          </w:tcPr>
          <w:p w:rsidR="000B3880" w:rsidRPr="00502467" w:rsidP="00CD4ED8" w14:paraId="34DDE03C"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3EF0279A"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1E2C1591"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1C440E41" w14:textId="77777777">
            <w:pPr>
              <w:spacing w:after="0" w:line="240" w:lineRule="auto"/>
              <w:rPr>
                <w:rFonts w:ascii="Arial Narrow" w:eastAsia="Arial Narrow" w:hAnsi="Arial Narrow" w:cs="Arial Narrow"/>
                <w:sz w:val="16"/>
                <w:szCs w:val="16"/>
              </w:rPr>
            </w:pPr>
          </w:p>
        </w:tc>
      </w:tr>
      <w:tr w14:paraId="6C5E8167" w14:textId="77777777" w:rsidTr="00CD4ED8">
        <w:tblPrEx>
          <w:tblW w:w="10422" w:type="dxa"/>
          <w:tblInd w:w="633" w:type="dxa"/>
          <w:tblLook w:val="04A0"/>
        </w:tblPrEx>
        <w:trPr>
          <w:trHeight w:val="282"/>
        </w:trPr>
        <w:tc>
          <w:tcPr>
            <w:tcW w:w="3319" w:type="dxa"/>
            <w:tcBorders>
              <w:top w:val="nil"/>
              <w:left w:val="nil"/>
              <w:bottom w:val="nil"/>
              <w:right w:val="nil"/>
            </w:tcBorders>
            <w:shd w:val="clear" w:color="auto" w:fill="auto"/>
            <w:noWrap/>
            <w:hideMark/>
          </w:tcPr>
          <w:p w:rsidR="000B3880" w:rsidRPr="00502467" w:rsidP="00CD4ED8" w14:paraId="2C4046CF"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Valdes locekļi</w:t>
            </w:r>
          </w:p>
        </w:tc>
        <w:tc>
          <w:tcPr>
            <w:tcW w:w="224" w:type="dxa"/>
            <w:tcBorders>
              <w:top w:val="nil"/>
              <w:left w:val="nil"/>
              <w:bottom w:val="nil"/>
              <w:right w:val="nil"/>
            </w:tcBorders>
            <w:shd w:val="clear" w:color="auto" w:fill="auto"/>
            <w:noWrap/>
            <w:hideMark/>
          </w:tcPr>
          <w:p w:rsidR="000B3880" w:rsidRPr="00502467" w:rsidP="00CD4ED8" w14:paraId="38E93D01" w14:textId="77777777">
            <w:pPr>
              <w:spacing w:after="0" w:line="240" w:lineRule="auto"/>
              <w:rPr>
                <w:rFonts w:ascii="Arial Narrow" w:eastAsia="Arial Narrow" w:hAnsi="Arial Narrow" w:cs="Arial Narrow"/>
                <w:color w:val="000000"/>
                <w:sz w:val="16"/>
                <w:szCs w:val="16"/>
              </w:rPr>
            </w:pPr>
          </w:p>
        </w:tc>
        <w:tc>
          <w:tcPr>
            <w:tcW w:w="224" w:type="dxa"/>
            <w:tcBorders>
              <w:top w:val="nil"/>
              <w:left w:val="nil"/>
              <w:bottom w:val="nil"/>
              <w:right w:val="nil"/>
            </w:tcBorders>
            <w:shd w:val="clear" w:color="auto" w:fill="auto"/>
            <w:noWrap/>
            <w:hideMark/>
          </w:tcPr>
          <w:p w:rsidR="000B3880" w:rsidRPr="00502467" w:rsidP="00CD4ED8" w14:paraId="66D625FA" w14:textId="77777777">
            <w:pPr>
              <w:spacing w:after="0" w:line="240" w:lineRule="auto"/>
              <w:rPr>
                <w:rFonts w:ascii="Arial Narrow" w:eastAsia="Arial Narrow" w:hAnsi="Arial Narrow" w:cs="Arial Narrow"/>
                <w:sz w:val="16"/>
                <w:szCs w:val="16"/>
              </w:rPr>
            </w:pPr>
          </w:p>
        </w:tc>
        <w:tc>
          <w:tcPr>
            <w:tcW w:w="6655" w:type="dxa"/>
            <w:gridSpan w:val="8"/>
            <w:tcBorders>
              <w:top w:val="nil"/>
              <w:left w:val="nil"/>
              <w:bottom w:val="nil"/>
              <w:right w:val="nil"/>
            </w:tcBorders>
            <w:shd w:val="clear" w:color="auto" w:fill="auto"/>
            <w:hideMark/>
          </w:tcPr>
          <w:p w:rsidR="000B3880" w:rsidRPr="00502467" w:rsidP="00CD4ED8" w14:paraId="407BE720"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Krišjānis Znotiņš - Valdes priekšsēdētājs kopš 17.08.2020.</w:t>
            </w:r>
          </w:p>
        </w:tc>
      </w:tr>
      <w:tr w14:paraId="379AAB65" w14:textId="77777777" w:rsidTr="00CD4ED8">
        <w:tblPrEx>
          <w:tblW w:w="10422" w:type="dxa"/>
          <w:tblInd w:w="633" w:type="dxa"/>
          <w:tblLook w:val="04A0"/>
        </w:tblPrEx>
        <w:trPr>
          <w:trHeight w:val="282"/>
        </w:trPr>
        <w:tc>
          <w:tcPr>
            <w:tcW w:w="3319" w:type="dxa"/>
            <w:tcBorders>
              <w:top w:val="nil"/>
              <w:left w:val="nil"/>
              <w:bottom w:val="nil"/>
              <w:right w:val="nil"/>
            </w:tcBorders>
            <w:shd w:val="clear" w:color="auto" w:fill="auto"/>
            <w:noWrap/>
            <w:hideMark/>
          </w:tcPr>
          <w:p w:rsidR="000B3880" w:rsidRPr="00502467" w:rsidP="00CD4ED8" w14:paraId="009730E7" w14:textId="77777777">
            <w:pPr>
              <w:spacing w:after="0" w:line="240" w:lineRule="auto"/>
              <w:rPr>
                <w:rFonts w:ascii="Arial Narrow" w:eastAsia="Arial Narrow" w:hAnsi="Arial Narrow" w:cs="Arial Narrow"/>
                <w:color w:val="000000"/>
                <w:sz w:val="16"/>
                <w:szCs w:val="16"/>
              </w:rPr>
            </w:pPr>
          </w:p>
        </w:tc>
        <w:tc>
          <w:tcPr>
            <w:tcW w:w="224" w:type="dxa"/>
            <w:tcBorders>
              <w:top w:val="nil"/>
              <w:left w:val="nil"/>
              <w:bottom w:val="nil"/>
              <w:right w:val="nil"/>
            </w:tcBorders>
            <w:shd w:val="clear" w:color="auto" w:fill="auto"/>
            <w:noWrap/>
            <w:hideMark/>
          </w:tcPr>
          <w:p w:rsidR="000B3880" w:rsidRPr="00502467" w:rsidP="00CD4ED8" w14:paraId="433BB15C"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640FED0A" w14:textId="77777777">
            <w:pPr>
              <w:spacing w:after="0" w:line="240" w:lineRule="auto"/>
              <w:rPr>
                <w:rFonts w:ascii="Arial Narrow" w:eastAsia="Arial Narrow" w:hAnsi="Arial Narrow" w:cs="Arial Narrow"/>
                <w:sz w:val="16"/>
                <w:szCs w:val="16"/>
              </w:rPr>
            </w:pPr>
          </w:p>
        </w:tc>
        <w:tc>
          <w:tcPr>
            <w:tcW w:w="6655" w:type="dxa"/>
            <w:gridSpan w:val="8"/>
            <w:tcBorders>
              <w:top w:val="nil"/>
              <w:left w:val="nil"/>
              <w:bottom w:val="nil"/>
              <w:right w:val="nil"/>
            </w:tcBorders>
            <w:shd w:val="clear" w:color="auto" w:fill="auto"/>
            <w:hideMark/>
          </w:tcPr>
          <w:p w:rsidR="000B3880" w:rsidRPr="00502467" w:rsidP="00CD4ED8" w14:paraId="52057D09"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Krišjānis Znotiņš - Valdes loceklis no 14.03.2019. līdz 17.08.2020.</w:t>
            </w:r>
          </w:p>
        </w:tc>
      </w:tr>
      <w:tr w14:paraId="4AA85BD7" w14:textId="77777777" w:rsidTr="00CD4ED8">
        <w:tblPrEx>
          <w:tblW w:w="10422" w:type="dxa"/>
          <w:tblInd w:w="633" w:type="dxa"/>
          <w:tblLook w:val="04A0"/>
        </w:tblPrEx>
        <w:trPr>
          <w:trHeight w:val="282"/>
        </w:trPr>
        <w:tc>
          <w:tcPr>
            <w:tcW w:w="3319" w:type="dxa"/>
            <w:tcBorders>
              <w:top w:val="nil"/>
              <w:left w:val="nil"/>
              <w:bottom w:val="nil"/>
              <w:right w:val="nil"/>
            </w:tcBorders>
            <w:shd w:val="clear" w:color="auto" w:fill="auto"/>
            <w:noWrap/>
            <w:hideMark/>
          </w:tcPr>
          <w:p w:rsidR="000B3880" w:rsidRPr="00502467" w:rsidP="00CD4ED8" w14:paraId="43AE1576" w14:textId="77777777">
            <w:pPr>
              <w:spacing w:after="0" w:line="240" w:lineRule="auto"/>
              <w:rPr>
                <w:rFonts w:ascii="Arial Narrow" w:eastAsia="Arial Narrow" w:hAnsi="Arial Narrow" w:cs="Arial Narrow"/>
                <w:color w:val="000000"/>
                <w:sz w:val="16"/>
                <w:szCs w:val="16"/>
              </w:rPr>
            </w:pPr>
          </w:p>
        </w:tc>
        <w:tc>
          <w:tcPr>
            <w:tcW w:w="224" w:type="dxa"/>
            <w:tcBorders>
              <w:top w:val="nil"/>
              <w:left w:val="nil"/>
              <w:bottom w:val="nil"/>
              <w:right w:val="nil"/>
            </w:tcBorders>
            <w:shd w:val="clear" w:color="auto" w:fill="auto"/>
            <w:noWrap/>
            <w:hideMark/>
          </w:tcPr>
          <w:p w:rsidR="000B3880" w:rsidRPr="00502467" w:rsidP="00CD4ED8" w14:paraId="087A2C8F"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520C1183" w14:textId="77777777">
            <w:pPr>
              <w:spacing w:after="0" w:line="240" w:lineRule="auto"/>
              <w:rPr>
                <w:rFonts w:ascii="Arial Narrow" w:eastAsia="Arial Narrow" w:hAnsi="Arial Narrow" w:cs="Arial Narrow"/>
                <w:sz w:val="16"/>
                <w:szCs w:val="16"/>
              </w:rPr>
            </w:pPr>
          </w:p>
        </w:tc>
        <w:tc>
          <w:tcPr>
            <w:tcW w:w="6655" w:type="dxa"/>
            <w:gridSpan w:val="8"/>
            <w:tcBorders>
              <w:top w:val="nil"/>
              <w:left w:val="nil"/>
              <w:bottom w:val="nil"/>
              <w:right w:val="nil"/>
            </w:tcBorders>
            <w:shd w:val="clear" w:color="auto" w:fill="auto"/>
            <w:hideMark/>
          </w:tcPr>
          <w:p w:rsidR="000B3880" w:rsidRPr="00502467" w:rsidP="00CD4ED8" w14:paraId="3408A4D5"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Aivis Lonskis - Valdes loceklis kopš 17.08.2020.</w:t>
            </w:r>
          </w:p>
        </w:tc>
      </w:tr>
      <w:tr w14:paraId="5EC9B385" w14:textId="77777777" w:rsidTr="00CD4ED8">
        <w:tblPrEx>
          <w:tblW w:w="10422" w:type="dxa"/>
          <w:tblInd w:w="633" w:type="dxa"/>
          <w:tblLook w:val="04A0"/>
        </w:tblPrEx>
        <w:trPr>
          <w:trHeight w:val="282"/>
        </w:trPr>
        <w:tc>
          <w:tcPr>
            <w:tcW w:w="3319" w:type="dxa"/>
            <w:tcBorders>
              <w:top w:val="nil"/>
              <w:left w:val="nil"/>
              <w:bottom w:val="nil"/>
              <w:right w:val="nil"/>
            </w:tcBorders>
            <w:shd w:val="clear" w:color="auto" w:fill="auto"/>
            <w:noWrap/>
            <w:hideMark/>
          </w:tcPr>
          <w:p w:rsidR="000B3880" w:rsidRPr="00502467" w:rsidP="00CD4ED8" w14:paraId="37D8267D" w14:textId="77777777">
            <w:pPr>
              <w:spacing w:after="0" w:line="240" w:lineRule="auto"/>
              <w:rPr>
                <w:rFonts w:ascii="Arial Narrow" w:eastAsia="Arial Narrow" w:hAnsi="Arial Narrow" w:cs="Arial Narrow"/>
                <w:color w:val="000000"/>
                <w:sz w:val="16"/>
                <w:szCs w:val="16"/>
              </w:rPr>
            </w:pPr>
          </w:p>
        </w:tc>
        <w:tc>
          <w:tcPr>
            <w:tcW w:w="224" w:type="dxa"/>
            <w:tcBorders>
              <w:top w:val="nil"/>
              <w:left w:val="nil"/>
              <w:bottom w:val="nil"/>
              <w:right w:val="nil"/>
            </w:tcBorders>
            <w:shd w:val="clear" w:color="auto" w:fill="auto"/>
            <w:noWrap/>
            <w:hideMark/>
          </w:tcPr>
          <w:p w:rsidR="000B3880" w:rsidRPr="00502467" w:rsidP="00CD4ED8" w14:paraId="7A496C03"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6DC1B0CA" w14:textId="77777777">
            <w:pPr>
              <w:spacing w:after="0" w:line="240" w:lineRule="auto"/>
              <w:rPr>
                <w:rFonts w:ascii="Arial Narrow" w:eastAsia="Arial Narrow" w:hAnsi="Arial Narrow" w:cs="Arial Narrow"/>
                <w:sz w:val="16"/>
                <w:szCs w:val="16"/>
              </w:rPr>
            </w:pPr>
          </w:p>
        </w:tc>
        <w:tc>
          <w:tcPr>
            <w:tcW w:w="6655" w:type="dxa"/>
            <w:gridSpan w:val="8"/>
            <w:tcBorders>
              <w:top w:val="nil"/>
              <w:left w:val="nil"/>
              <w:bottom w:val="nil"/>
              <w:right w:val="nil"/>
            </w:tcBorders>
            <w:shd w:val="clear" w:color="auto" w:fill="auto"/>
            <w:hideMark/>
          </w:tcPr>
          <w:p w:rsidR="000B3880" w:rsidRPr="00502467" w:rsidP="00CD4ED8" w14:paraId="3AA81F68" w14:textId="77777777">
            <w:pPr>
              <w:spacing w:after="0" w:line="240" w:lineRule="auto"/>
              <w:rPr>
                <w:rFonts w:ascii="Arial Narrow" w:eastAsia="Arial Narrow" w:hAnsi="Arial Narrow" w:cs="Arial Narrow"/>
                <w:sz w:val="16"/>
                <w:szCs w:val="16"/>
              </w:rPr>
            </w:pPr>
          </w:p>
        </w:tc>
      </w:tr>
      <w:tr w14:paraId="3077D7E5"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7AF8CDE1"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Padomes locekļi</w:t>
            </w:r>
          </w:p>
        </w:tc>
        <w:tc>
          <w:tcPr>
            <w:tcW w:w="224" w:type="dxa"/>
            <w:tcBorders>
              <w:top w:val="nil"/>
              <w:left w:val="nil"/>
              <w:bottom w:val="nil"/>
              <w:right w:val="nil"/>
            </w:tcBorders>
            <w:shd w:val="clear" w:color="auto" w:fill="auto"/>
            <w:noWrap/>
            <w:hideMark/>
          </w:tcPr>
          <w:p w:rsidR="000B3880" w:rsidRPr="00502467" w:rsidP="00CD4ED8" w14:paraId="35FF2567" w14:textId="77777777">
            <w:pPr>
              <w:spacing w:after="0" w:line="240" w:lineRule="auto"/>
              <w:rPr>
                <w:rFonts w:ascii="Arial Narrow" w:eastAsia="Arial Narrow" w:hAnsi="Arial Narrow" w:cs="Arial Narrow"/>
                <w:color w:val="000000"/>
                <w:sz w:val="16"/>
                <w:szCs w:val="16"/>
              </w:rPr>
            </w:pPr>
          </w:p>
        </w:tc>
        <w:tc>
          <w:tcPr>
            <w:tcW w:w="224" w:type="dxa"/>
            <w:tcBorders>
              <w:top w:val="nil"/>
              <w:left w:val="nil"/>
              <w:bottom w:val="nil"/>
              <w:right w:val="nil"/>
            </w:tcBorders>
            <w:shd w:val="clear" w:color="auto" w:fill="auto"/>
            <w:noWrap/>
            <w:hideMark/>
          </w:tcPr>
          <w:p w:rsidR="000B3880" w:rsidRPr="00502467" w:rsidP="00CD4ED8" w14:paraId="184AB337" w14:textId="77777777">
            <w:pPr>
              <w:spacing w:after="0" w:line="240" w:lineRule="auto"/>
              <w:rPr>
                <w:rFonts w:ascii="Arial Narrow" w:eastAsia="Arial Narrow" w:hAnsi="Arial Narrow" w:cs="Arial Narrow"/>
                <w:sz w:val="16"/>
                <w:szCs w:val="16"/>
              </w:rPr>
            </w:pPr>
          </w:p>
        </w:tc>
        <w:tc>
          <w:tcPr>
            <w:tcW w:w="4986" w:type="dxa"/>
            <w:gridSpan w:val="5"/>
            <w:tcBorders>
              <w:top w:val="nil"/>
              <w:left w:val="nil"/>
              <w:bottom w:val="nil"/>
              <w:right w:val="nil"/>
            </w:tcBorders>
            <w:shd w:val="clear" w:color="auto" w:fill="auto"/>
            <w:noWrap/>
            <w:hideMark/>
          </w:tcPr>
          <w:p w:rsidR="000B3880" w:rsidRPr="00502467" w:rsidP="00CD4ED8" w14:paraId="04CA13CF"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 xml:space="preserve">Valerij Petrov - Padomes </w:t>
            </w:r>
            <w:r w:rsidRPr="00502467">
              <w:rPr>
                <w:rFonts w:ascii="Arial Narrow" w:eastAsia="Arial Narrow" w:hAnsi="Arial Narrow" w:cs="Arial Narrow"/>
                <w:color w:val="000000"/>
                <w:sz w:val="16"/>
                <w:szCs w:val="16"/>
              </w:rPr>
              <w:t>priekšsēdētājs kopš 17.08.2020.</w:t>
            </w:r>
          </w:p>
        </w:tc>
        <w:tc>
          <w:tcPr>
            <w:tcW w:w="802" w:type="dxa"/>
            <w:tcBorders>
              <w:top w:val="nil"/>
              <w:left w:val="nil"/>
              <w:bottom w:val="nil"/>
              <w:right w:val="nil"/>
            </w:tcBorders>
            <w:shd w:val="clear" w:color="auto" w:fill="auto"/>
            <w:noWrap/>
            <w:hideMark/>
          </w:tcPr>
          <w:p w:rsidR="000B3880" w:rsidRPr="00502467" w:rsidP="00CD4ED8" w14:paraId="5766A2F8" w14:textId="77777777">
            <w:pPr>
              <w:spacing w:after="0" w:line="240" w:lineRule="auto"/>
              <w:rPr>
                <w:rFonts w:ascii="Arial Narrow" w:eastAsia="Arial Narrow" w:hAnsi="Arial Narrow" w:cs="Arial Narrow"/>
                <w:color w:val="000000"/>
                <w:sz w:val="16"/>
                <w:szCs w:val="16"/>
              </w:rPr>
            </w:pPr>
          </w:p>
        </w:tc>
        <w:tc>
          <w:tcPr>
            <w:tcW w:w="861" w:type="dxa"/>
            <w:tcBorders>
              <w:top w:val="nil"/>
              <w:left w:val="nil"/>
              <w:bottom w:val="nil"/>
              <w:right w:val="nil"/>
            </w:tcBorders>
            <w:shd w:val="clear" w:color="auto" w:fill="auto"/>
            <w:noWrap/>
            <w:hideMark/>
          </w:tcPr>
          <w:p w:rsidR="000B3880" w:rsidRPr="00502467" w:rsidP="00CD4ED8" w14:paraId="1786FBD5" w14:textId="77777777">
            <w:pPr>
              <w:spacing w:after="0" w:line="240" w:lineRule="auto"/>
              <w:rPr>
                <w:rFonts w:ascii="Arial Narrow" w:eastAsia="Arial Narrow" w:hAnsi="Arial Narrow" w:cs="Arial Narrow"/>
                <w:sz w:val="16"/>
                <w:szCs w:val="16"/>
              </w:rPr>
            </w:pPr>
          </w:p>
        </w:tc>
      </w:tr>
      <w:tr w14:paraId="78C75A7D" w14:textId="77777777" w:rsidTr="00CD4ED8">
        <w:tblPrEx>
          <w:tblW w:w="10422" w:type="dxa"/>
          <w:tblInd w:w="633" w:type="dxa"/>
          <w:tblLook w:val="04A0"/>
        </w:tblPrEx>
        <w:trPr>
          <w:trHeight w:val="282"/>
        </w:trPr>
        <w:tc>
          <w:tcPr>
            <w:tcW w:w="3319" w:type="dxa"/>
            <w:tcBorders>
              <w:top w:val="nil"/>
              <w:left w:val="nil"/>
              <w:bottom w:val="nil"/>
              <w:right w:val="nil"/>
            </w:tcBorders>
            <w:shd w:val="clear" w:color="auto" w:fill="auto"/>
            <w:noWrap/>
            <w:hideMark/>
          </w:tcPr>
          <w:p w:rsidR="000B3880" w:rsidRPr="00502467" w:rsidP="00CD4ED8" w14:paraId="00A24AE8"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6D204A2B"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0ACA540E" w14:textId="77777777">
            <w:pPr>
              <w:spacing w:after="0" w:line="240" w:lineRule="auto"/>
              <w:rPr>
                <w:rFonts w:ascii="Arial Narrow" w:eastAsia="Arial Narrow" w:hAnsi="Arial Narrow" w:cs="Arial Narrow"/>
                <w:sz w:val="16"/>
                <w:szCs w:val="16"/>
              </w:rPr>
            </w:pPr>
          </w:p>
        </w:tc>
        <w:tc>
          <w:tcPr>
            <w:tcW w:w="5788" w:type="dxa"/>
            <w:gridSpan w:val="6"/>
            <w:tcBorders>
              <w:top w:val="nil"/>
              <w:left w:val="nil"/>
              <w:bottom w:val="nil"/>
              <w:right w:val="nil"/>
            </w:tcBorders>
            <w:shd w:val="clear" w:color="auto" w:fill="auto"/>
            <w:noWrap/>
            <w:hideMark/>
          </w:tcPr>
          <w:p w:rsidR="000B3880" w:rsidRPr="00502467" w:rsidP="00CD4ED8" w14:paraId="0F07427A"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Vladislavs Mejertāls - Padomes priekšsēdētāja vietnieks kopš 17.08.2020.</w:t>
            </w:r>
          </w:p>
        </w:tc>
        <w:tc>
          <w:tcPr>
            <w:tcW w:w="867" w:type="dxa"/>
            <w:gridSpan w:val="2"/>
            <w:tcBorders>
              <w:top w:val="nil"/>
              <w:left w:val="nil"/>
              <w:bottom w:val="nil"/>
              <w:right w:val="nil"/>
            </w:tcBorders>
            <w:shd w:val="clear" w:color="auto" w:fill="auto"/>
            <w:noWrap/>
            <w:hideMark/>
          </w:tcPr>
          <w:p w:rsidR="000B3880" w:rsidRPr="00502467" w:rsidP="00CD4ED8" w14:paraId="248E0E4D" w14:textId="77777777">
            <w:pPr>
              <w:spacing w:after="0" w:line="240" w:lineRule="auto"/>
              <w:rPr>
                <w:rFonts w:ascii="Arial Narrow" w:eastAsia="Arial Narrow" w:hAnsi="Arial Narrow" w:cs="Arial Narrow"/>
                <w:color w:val="000000"/>
                <w:sz w:val="16"/>
                <w:szCs w:val="16"/>
              </w:rPr>
            </w:pPr>
          </w:p>
        </w:tc>
      </w:tr>
      <w:tr w14:paraId="794C019C"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12E7684C"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5298DAE3"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4D1227E8" w14:textId="77777777">
            <w:pPr>
              <w:spacing w:after="0" w:line="240" w:lineRule="auto"/>
              <w:rPr>
                <w:rFonts w:ascii="Arial Narrow" w:eastAsia="Arial Narrow" w:hAnsi="Arial Narrow" w:cs="Arial Narrow"/>
                <w:sz w:val="16"/>
                <w:szCs w:val="16"/>
              </w:rPr>
            </w:pPr>
          </w:p>
        </w:tc>
        <w:tc>
          <w:tcPr>
            <w:tcW w:w="4986" w:type="dxa"/>
            <w:gridSpan w:val="5"/>
            <w:tcBorders>
              <w:top w:val="nil"/>
              <w:left w:val="nil"/>
              <w:bottom w:val="nil"/>
              <w:right w:val="nil"/>
            </w:tcBorders>
            <w:shd w:val="clear" w:color="auto" w:fill="auto"/>
            <w:noWrap/>
            <w:hideMark/>
          </w:tcPr>
          <w:p w:rsidR="000B3880" w:rsidRPr="00502467" w:rsidP="00CD4ED8" w14:paraId="4C91C945"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Neringa Plauškiene - Padomes locekle kopš 17.08.2020.</w:t>
            </w:r>
          </w:p>
        </w:tc>
        <w:tc>
          <w:tcPr>
            <w:tcW w:w="802" w:type="dxa"/>
            <w:tcBorders>
              <w:top w:val="nil"/>
              <w:left w:val="nil"/>
              <w:bottom w:val="nil"/>
              <w:right w:val="nil"/>
            </w:tcBorders>
            <w:shd w:val="clear" w:color="auto" w:fill="auto"/>
            <w:noWrap/>
            <w:hideMark/>
          </w:tcPr>
          <w:p w:rsidR="000B3880" w:rsidRPr="00502467" w:rsidP="00CD4ED8" w14:paraId="0FE33BAE" w14:textId="77777777">
            <w:pPr>
              <w:spacing w:after="0" w:line="240" w:lineRule="auto"/>
              <w:rPr>
                <w:rFonts w:ascii="Arial Narrow" w:eastAsia="Arial Narrow" w:hAnsi="Arial Narrow" w:cs="Arial Narrow"/>
                <w:color w:val="000000"/>
                <w:sz w:val="16"/>
                <w:szCs w:val="16"/>
              </w:rPr>
            </w:pPr>
          </w:p>
        </w:tc>
        <w:tc>
          <w:tcPr>
            <w:tcW w:w="861" w:type="dxa"/>
            <w:tcBorders>
              <w:top w:val="nil"/>
              <w:left w:val="nil"/>
              <w:bottom w:val="nil"/>
              <w:right w:val="nil"/>
            </w:tcBorders>
            <w:shd w:val="clear" w:color="auto" w:fill="auto"/>
            <w:noWrap/>
            <w:hideMark/>
          </w:tcPr>
          <w:p w:rsidR="000B3880" w:rsidRPr="00502467" w:rsidP="00CD4ED8" w14:paraId="1B752CFF" w14:textId="77777777">
            <w:pPr>
              <w:spacing w:after="0" w:line="240" w:lineRule="auto"/>
              <w:rPr>
                <w:rFonts w:ascii="Arial Narrow" w:eastAsia="Arial Narrow" w:hAnsi="Arial Narrow" w:cs="Arial Narrow"/>
                <w:sz w:val="16"/>
                <w:szCs w:val="16"/>
              </w:rPr>
            </w:pPr>
          </w:p>
        </w:tc>
      </w:tr>
      <w:tr w14:paraId="223B1F2E"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73E6A8BE"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72E47097"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40C03C87" w14:textId="77777777">
            <w:pPr>
              <w:spacing w:after="0" w:line="240" w:lineRule="auto"/>
              <w:rPr>
                <w:rFonts w:ascii="Arial Narrow" w:eastAsia="Arial Narrow" w:hAnsi="Arial Narrow" w:cs="Arial Narrow"/>
                <w:sz w:val="16"/>
                <w:szCs w:val="16"/>
              </w:rPr>
            </w:pPr>
          </w:p>
        </w:tc>
        <w:tc>
          <w:tcPr>
            <w:tcW w:w="1191" w:type="dxa"/>
            <w:tcBorders>
              <w:top w:val="nil"/>
              <w:left w:val="nil"/>
              <w:bottom w:val="nil"/>
              <w:right w:val="nil"/>
            </w:tcBorders>
            <w:shd w:val="clear" w:color="auto" w:fill="auto"/>
            <w:noWrap/>
            <w:hideMark/>
          </w:tcPr>
          <w:p w:rsidR="000B3880" w:rsidRPr="00502467" w:rsidP="00CD4ED8" w14:paraId="29DEE1A2" w14:textId="77777777">
            <w:pPr>
              <w:spacing w:after="0" w:line="240" w:lineRule="auto"/>
              <w:rPr>
                <w:rFonts w:ascii="Arial Narrow" w:eastAsia="Arial Narrow" w:hAnsi="Arial Narrow" w:cs="Arial Narrow"/>
                <w:sz w:val="16"/>
                <w:szCs w:val="16"/>
              </w:rPr>
            </w:pPr>
          </w:p>
        </w:tc>
        <w:tc>
          <w:tcPr>
            <w:tcW w:w="681" w:type="dxa"/>
            <w:tcBorders>
              <w:top w:val="nil"/>
              <w:left w:val="nil"/>
              <w:bottom w:val="nil"/>
              <w:right w:val="nil"/>
            </w:tcBorders>
            <w:shd w:val="clear" w:color="auto" w:fill="auto"/>
            <w:noWrap/>
            <w:hideMark/>
          </w:tcPr>
          <w:p w:rsidR="000B3880" w:rsidRPr="00502467" w:rsidP="00CD4ED8" w14:paraId="6682CE7A" w14:textId="77777777">
            <w:pPr>
              <w:spacing w:after="0" w:line="240" w:lineRule="auto"/>
              <w:rPr>
                <w:rFonts w:ascii="Arial Narrow" w:eastAsia="Arial Narrow" w:hAnsi="Arial Narrow" w:cs="Arial Narrow"/>
                <w:sz w:val="16"/>
                <w:szCs w:val="16"/>
              </w:rPr>
            </w:pPr>
          </w:p>
        </w:tc>
        <w:tc>
          <w:tcPr>
            <w:tcW w:w="789" w:type="dxa"/>
            <w:tcBorders>
              <w:top w:val="nil"/>
              <w:left w:val="nil"/>
              <w:bottom w:val="nil"/>
              <w:right w:val="nil"/>
            </w:tcBorders>
            <w:shd w:val="clear" w:color="auto" w:fill="auto"/>
            <w:noWrap/>
            <w:hideMark/>
          </w:tcPr>
          <w:p w:rsidR="000B3880" w:rsidRPr="00502467" w:rsidP="00CD4ED8" w14:paraId="43381B3A" w14:textId="77777777">
            <w:pPr>
              <w:spacing w:after="0" w:line="240" w:lineRule="auto"/>
              <w:rPr>
                <w:rFonts w:ascii="Arial Narrow" w:eastAsia="Arial Narrow" w:hAnsi="Arial Narrow" w:cs="Arial Narrow"/>
                <w:sz w:val="16"/>
                <w:szCs w:val="16"/>
              </w:rPr>
            </w:pPr>
          </w:p>
        </w:tc>
        <w:tc>
          <w:tcPr>
            <w:tcW w:w="826" w:type="dxa"/>
            <w:tcBorders>
              <w:top w:val="nil"/>
              <w:left w:val="nil"/>
              <w:bottom w:val="nil"/>
              <w:right w:val="nil"/>
            </w:tcBorders>
            <w:shd w:val="clear" w:color="auto" w:fill="auto"/>
            <w:noWrap/>
            <w:hideMark/>
          </w:tcPr>
          <w:p w:rsidR="000B3880" w:rsidRPr="00502467" w:rsidP="00CD4ED8" w14:paraId="5A79520A"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7B4D3EE4"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5D72BB4B"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15881FDD" w14:textId="77777777">
            <w:pPr>
              <w:spacing w:after="0" w:line="240" w:lineRule="auto"/>
              <w:rPr>
                <w:rFonts w:ascii="Arial Narrow" w:eastAsia="Arial Narrow" w:hAnsi="Arial Narrow" w:cs="Arial Narrow"/>
                <w:sz w:val="16"/>
                <w:szCs w:val="16"/>
              </w:rPr>
            </w:pPr>
          </w:p>
        </w:tc>
      </w:tr>
      <w:tr w14:paraId="7AC7CFA8"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5127DC89"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01444FC9"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34B58798" w14:textId="77777777">
            <w:pPr>
              <w:spacing w:after="0" w:line="240" w:lineRule="auto"/>
              <w:rPr>
                <w:rFonts w:ascii="Arial Narrow" w:eastAsia="Arial Narrow" w:hAnsi="Arial Narrow" w:cs="Arial Narrow"/>
                <w:sz w:val="16"/>
                <w:szCs w:val="16"/>
              </w:rPr>
            </w:pPr>
          </w:p>
        </w:tc>
        <w:tc>
          <w:tcPr>
            <w:tcW w:w="1191" w:type="dxa"/>
            <w:tcBorders>
              <w:top w:val="nil"/>
              <w:left w:val="nil"/>
              <w:bottom w:val="nil"/>
              <w:right w:val="nil"/>
            </w:tcBorders>
            <w:shd w:val="clear" w:color="auto" w:fill="auto"/>
            <w:noWrap/>
            <w:vAlign w:val="bottom"/>
            <w:hideMark/>
          </w:tcPr>
          <w:p w:rsidR="000B3880" w:rsidRPr="00502467" w:rsidP="00CD4ED8" w14:paraId="331FA731" w14:textId="77777777">
            <w:pPr>
              <w:spacing w:after="0" w:line="240" w:lineRule="auto"/>
              <w:rPr>
                <w:rFonts w:ascii="Arial Narrow" w:eastAsia="Arial Narrow" w:hAnsi="Arial Narrow" w:cs="Arial Narrow"/>
                <w:sz w:val="16"/>
                <w:szCs w:val="16"/>
              </w:rPr>
            </w:pPr>
          </w:p>
        </w:tc>
        <w:tc>
          <w:tcPr>
            <w:tcW w:w="681" w:type="dxa"/>
            <w:tcBorders>
              <w:top w:val="nil"/>
              <w:left w:val="nil"/>
              <w:bottom w:val="nil"/>
              <w:right w:val="nil"/>
            </w:tcBorders>
            <w:shd w:val="clear" w:color="auto" w:fill="auto"/>
            <w:noWrap/>
            <w:vAlign w:val="bottom"/>
            <w:hideMark/>
          </w:tcPr>
          <w:p w:rsidR="000B3880" w:rsidRPr="00502467" w:rsidP="00CD4ED8" w14:paraId="605DC107" w14:textId="77777777">
            <w:pPr>
              <w:spacing w:after="0" w:line="240" w:lineRule="auto"/>
              <w:rPr>
                <w:rFonts w:ascii="Arial Narrow" w:eastAsia="Arial Narrow" w:hAnsi="Arial Narrow" w:cs="Arial Narrow"/>
                <w:sz w:val="16"/>
                <w:szCs w:val="16"/>
              </w:rPr>
            </w:pPr>
          </w:p>
        </w:tc>
        <w:tc>
          <w:tcPr>
            <w:tcW w:w="789" w:type="dxa"/>
            <w:tcBorders>
              <w:top w:val="nil"/>
              <w:left w:val="nil"/>
              <w:bottom w:val="nil"/>
              <w:right w:val="nil"/>
            </w:tcBorders>
            <w:shd w:val="clear" w:color="auto" w:fill="auto"/>
            <w:noWrap/>
            <w:vAlign w:val="bottom"/>
            <w:hideMark/>
          </w:tcPr>
          <w:p w:rsidR="000B3880" w:rsidRPr="00502467" w:rsidP="00CD4ED8" w14:paraId="07C310E9" w14:textId="77777777">
            <w:pPr>
              <w:spacing w:after="0" w:line="240" w:lineRule="auto"/>
              <w:rPr>
                <w:rFonts w:ascii="Arial Narrow" w:eastAsia="Arial Narrow" w:hAnsi="Arial Narrow" w:cs="Arial Narrow"/>
                <w:sz w:val="16"/>
                <w:szCs w:val="16"/>
              </w:rPr>
            </w:pPr>
          </w:p>
        </w:tc>
        <w:tc>
          <w:tcPr>
            <w:tcW w:w="826" w:type="dxa"/>
            <w:tcBorders>
              <w:top w:val="nil"/>
              <w:left w:val="nil"/>
              <w:bottom w:val="nil"/>
              <w:right w:val="nil"/>
            </w:tcBorders>
            <w:shd w:val="clear" w:color="auto" w:fill="auto"/>
            <w:noWrap/>
            <w:vAlign w:val="bottom"/>
            <w:hideMark/>
          </w:tcPr>
          <w:p w:rsidR="000B3880" w:rsidRPr="00502467" w:rsidP="00CD4ED8" w14:paraId="616C70E4"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vAlign w:val="bottom"/>
            <w:hideMark/>
          </w:tcPr>
          <w:p w:rsidR="000B3880" w:rsidRPr="00502467" w:rsidP="00CD4ED8" w14:paraId="1833C827"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vAlign w:val="bottom"/>
            <w:hideMark/>
          </w:tcPr>
          <w:p w:rsidR="000B3880" w:rsidRPr="00502467" w:rsidP="00CD4ED8" w14:paraId="1592342C"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vAlign w:val="bottom"/>
            <w:hideMark/>
          </w:tcPr>
          <w:p w:rsidR="000B3880" w:rsidRPr="00502467" w:rsidP="00CD4ED8" w14:paraId="24E831B6" w14:textId="77777777">
            <w:pPr>
              <w:spacing w:after="0" w:line="240" w:lineRule="auto"/>
              <w:rPr>
                <w:rFonts w:ascii="Arial Narrow" w:eastAsia="Arial Narrow" w:hAnsi="Arial Narrow" w:cs="Arial Narrow"/>
                <w:sz w:val="16"/>
                <w:szCs w:val="16"/>
              </w:rPr>
            </w:pPr>
          </w:p>
        </w:tc>
      </w:tr>
      <w:tr w14:paraId="0D1E1F5A" w14:textId="77777777" w:rsidTr="00CD4ED8">
        <w:tblPrEx>
          <w:tblW w:w="10422" w:type="dxa"/>
          <w:tblInd w:w="633" w:type="dxa"/>
          <w:tblLook w:val="04A0"/>
        </w:tblPrEx>
        <w:trPr>
          <w:trHeight w:val="282"/>
        </w:trPr>
        <w:tc>
          <w:tcPr>
            <w:tcW w:w="3319" w:type="dxa"/>
            <w:tcBorders>
              <w:top w:val="nil"/>
              <w:left w:val="nil"/>
              <w:bottom w:val="nil"/>
              <w:right w:val="nil"/>
            </w:tcBorders>
            <w:shd w:val="clear" w:color="auto" w:fill="auto"/>
            <w:noWrap/>
            <w:hideMark/>
          </w:tcPr>
          <w:p w:rsidR="000B3880" w:rsidRPr="00502467" w:rsidP="00CD4ED8" w14:paraId="5E76573E"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Meitas sabiedrības</w:t>
            </w:r>
          </w:p>
        </w:tc>
        <w:tc>
          <w:tcPr>
            <w:tcW w:w="224" w:type="dxa"/>
            <w:tcBorders>
              <w:top w:val="nil"/>
              <w:left w:val="nil"/>
              <w:bottom w:val="nil"/>
              <w:right w:val="nil"/>
            </w:tcBorders>
            <w:shd w:val="clear" w:color="auto" w:fill="auto"/>
            <w:noWrap/>
            <w:hideMark/>
          </w:tcPr>
          <w:p w:rsidR="000B3880" w:rsidRPr="00502467" w:rsidP="00CD4ED8" w14:paraId="7CFDBF0F" w14:textId="77777777">
            <w:pPr>
              <w:spacing w:after="0" w:line="240" w:lineRule="auto"/>
              <w:rPr>
                <w:rFonts w:ascii="Arial Narrow" w:eastAsia="Arial Narrow" w:hAnsi="Arial Narrow" w:cs="Arial Narrow"/>
                <w:color w:val="000000"/>
                <w:sz w:val="16"/>
                <w:szCs w:val="16"/>
              </w:rPr>
            </w:pPr>
          </w:p>
        </w:tc>
        <w:tc>
          <w:tcPr>
            <w:tcW w:w="224" w:type="dxa"/>
            <w:tcBorders>
              <w:top w:val="nil"/>
              <w:left w:val="nil"/>
              <w:bottom w:val="nil"/>
              <w:right w:val="nil"/>
            </w:tcBorders>
            <w:shd w:val="clear" w:color="auto" w:fill="auto"/>
            <w:noWrap/>
            <w:hideMark/>
          </w:tcPr>
          <w:p w:rsidR="000B3880" w:rsidRPr="00502467" w:rsidP="00CD4ED8" w14:paraId="2D97A4FA" w14:textId="77777777">
            <w:pPr>
              <w:spacing w:after="0" w:line="240" w:lineRule="auto"/>
              <w:rPr>
                <w:rFonts w:ascii="Arial Narrow" w:eastAsia="Arial Narrow" w:hAnsi="Arial Narrow" w:cs="Arial Narrow"/>
                <w:sz w:val="16"/>
                <w:szCs w:val="16"/>
              </w:rPr>
            </w:pPr>
          </w:p>
        </w:tc>
        <w:tc>
          <w:tcPr>
            <w:tcW w:w="6655" w:type="dxa"/>
            <w:gridSpan w:val="8"/>
            <w:tcBorders>
              <w:top w:val="nil"/>
              <w:left w:val="nil"/>
              <w:bottom w:val="nil"/>
              <w:right w:val="nil"/>
            </w:tcBorders>
            <w:shd w:val="clear" w:color="auto" w:fill="auto"/>
            <w:hideMark/>
          </w:tcPr>
          <w:p w:rsidR="000B3880" w:rsidRPr="00502467" w:rsidP="00CD4ED8" w14:paraId="2DA0CE7B"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Renti AS, Latvija (100%)</w:t>
            </w:r>
          </w:p>
        </w:tc>
      </w:tr>
      <w:tr w14:paraId="02218CDC" w14:textId="77777777" w:rsidTr="00CD4ED8">
        <w:tblPrEx>
          <w:tblW w:w="10422" w:type="dxa"/>
          <w:tblInd w:w="633" w:type="dxa"/>
          <w:tblLook w:val="04A0"/>
        </w:tblPrEx>
        <w:trPr>
          <w:trHeight w:val="282"/>
        </w:trPr>
        <w:tc>
          <w:tcPr>
            <w:tcW w:w="3319" w:type="dxa"/>
            <w:tcBorders>
              <w:top w:val="nil"/>
              <w:left w:val="nil"/>
              <w:bottom w:val="nil"/>
              <w:right w:val="nil"/>
            </w:tcBorders>
            <w:shd w:val="clear" w:color="auto" w:fill="auto"/>
            <w:noWrap/>
            <w:hideMark/>
          </w:tcPr>
          <w:p w:rsidR="000B3880" w:rsidRPr="00502467" w:rsidP="00CD4ED8" w14:paraId="57A56AEE" w14:textId="77777777">
            <w:pPr>
              <w:spacing w:after="0" w:line="240" w:lineRule="auto"/>
              <w:rPr>
                <w:rFonts w:ascii="Arial Narrow" w:eastAsia="Arial Narrow" w:hAnsi="Arial Narrow" w:cs="Arial Narrow"/>
                <w:color w:val="000000"/>
                <w:sz w:val="16"/>
                <w:szCs w:val="16"/>
              </w:rPr>
            </w:pPr>
          </w:p>
        </w:tc>
        <w:tc>
          <w:tcPr>
            <w:tcW w:w="224" w:type="dxa"/>
            <w:tcBorders>
              <w:top w:val="nil"/>
              <w:left w:val="nil"/>
              <w:bottom w:val="nil"/>
              <w:right w:val="nil"/>
            </w:tcBorders>
            <w:shd w:val="clear" w:color="auto" w:fill="auto"/>
            <w:noWrap/>
            <w:hideMark/>
          </w:tcPr>
          <w:p w:rsidR="000B3880" w:rsidRPr="00502467" w:rsidP="00CD4ED8" w14:paraId="0003FEE3"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3455F673" w14:textId="77777777">
            <w:pPr>
              <w:spacing w:after="0" w:line="240" w:lineRule="auto"/>
              <w:rPr>
                <w:rFonts w:ascii="Arial Narrow" w:eastAsia="Arial Narrow" w:hAnsi="Arial Narrow" w:cs="Arial Narrow"/>
                <w:sz w:val="16"/>
                <w:szCs w:val="16"/>
              </w:rPr>
            </w:pPr>
          </w:p>
        </w:tc>
        <w:tc>
          <w:tcPr>
            <w:tcW w:w="6655" w:type="dxa"/>
            <w:gridSpan w:val="8"/>
            <w:tcBorders>
              <w:top w:val="nil"/>
              <w:left w:val="nil"/>
              <w:bottom w:val="nil"/>
              <w:right w:val="nil"/>
            </w:tcBorders>
            <w:shd w:val="clear" w:color="auto" w:fill="auto"/>
          </w:tcPr>
          <w:p w:rsidR="000B3880" w:rsidRPr="00502467" w:rsidP="00CD4ED8" w14:paraId="60DC6528" w14:textId="77777777">
            <w:pPr>
              <w:spacing w:after="0" w:line="240" w:lineRule="auto"/>
              <w:rPr>
                <w:rFonts w:ascii="Arial Narrow" w:eastAsia="Arial Narrow" w:hAnsi="Arial Narrow" w:cs="Arial Narrow"/>
                <w:color w:val="000000"/>
                <w:sz w:val="16"/>
                <w:szCs w:val="16"/>
              </w:rPr>
            </w:pPr>
          </w:p>
        </w:tc>
      </w:tr>
      <w:tr w14:paraId="530A97C3"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5C257D22" w14:textId="77777777">
            <w:pPr>
              <w:spacing w:after="0" w:line="240" w:lineRule="auto"/>
              <w:rPr>
                <w:rFonts w:ascii="Arial Narrow" w:eastAsia="Arial Narrow" w:hAnsi="Arial Narrow" w:cs="Arial Narrow"/>
                <w:color w:val="000000"/>
                <w:sz w:val="16"/>
                <w:szCs w:val="16"/>
              </w:rPr>
            </w:pPr>
          </w:p>
        </w:tc>
        <w:tc>
          <w:tcPr>
            <w:tcW w:w="224" w:type="dxa"/>
            <w:tcBorders>
              <w:top w:val="nil"/>
              <w:left w:val="nil"/>
              <w:bottom w:val="nil"/>
              <w:right w:val="nil"/>
            </w:tcBorders>
            <w:shd w:val="clear" w:color="auto" w:fill="auto"/>
            <w:noWrap/>
            <w:hideMark/>
          </w:tcPr>
          <w:p w:rsidR="000B3880" w:rsidRPr="00502467" w:rsidP="00CD4ED8" w14:paraId="253E5773"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63AD95F1" w14:textId="77777777">
            <w:pPr>
              <w:spacing w:after="0" w:line="240" w:lineRule="auto"/>
              <w:rPr>
                <w:rFonts w:ascii="Arial Narrow" w:eastAsia="Arial Narrow" w:hAnsi="Arial Narrow" w:cs="Arial Narrow"/>
                <w:sz w:val="16"/>
                <w:szCs w:val="16"/>
              </w:rPr>
            </w:pPr>
          </w:p>
        </w:tc>
        <w:tc>
          <w:tcPr>
            <w:tcW w:w="1191" w:type="dxa"/>
            <w:tcBorders>
              <w:top w:val="nil"/>
              <w:left w:val="nil"/>
              <w:bottom w:val="nil"/>
              <w:right w:val="nil"/>
            </w:tcBorders>
            <w:shd w:val="clear" w:color="auto" w:fill="auto"/>
            <w:hideMark/>
          </w:tcPr>
          <w:p w:rsidR="000B3880" w:rsidRPr="00502467" w:rsidP="00CD4ED8" w14:paraId="155E1D1D" w14:textId="77777777">
            <w:pPr>
              <w:spacing w:after="0" w:line="240" w:lineRule="auto"/>
              <w:rPr>
                <w:rFonts w:ascii="Arial Narrow" w:eastAsia="Arial Narrow" w:hAnsi="Arial Narrow" w:cs="Arial Narrow"/>
                <w:sz w:val="16"/>
                <w:szCs w:val="16"/>
              </w:rPr>
            </w:pPr>
          </w:p>
        </w:tc>
        <w:tc>
          <w:tcPr>
            <w:tcW w:w="681" w:type="dxa"/>
            <w:tcBorders>
              <w:top w:val="nil"/>
              <w:left w:val="nil"/>
              <w:bottom w:val="nil"/>
              <w:right w:val="nil"/>
            </w:tcBorders>
            <w:shd w:val="clear" w:color="auto" w:fill="auto"/>
            <w:hideMark/>
          </w:tcPr>
          <w:p w:rsidR="000B3880" w:rsidRPr="00502467" w:rsidP="00CD4ED8" w14:paraId="568F9DDA" w14:textId="77777777">
            <w:pPr>
              <w:spacing w:after="0" w:line="240" w:lineRule="auto"/>
              <w:rPr>
                <w:rFonts w:ascii="Arial Narrow" w:eastAsia="Arial Narrow" w:hAnsi="Arial Narrow" w:cs="Arial Narrow"/>
                <w:sz w:val="16"/>
                <w:szCs w:val="16"/>
              </w:rPr>
            </w:pPr>
          </w:p>
        </w:tc>
        <w:tc>
          <w:tcPr>
            <w:tcW w:w="789" w:type="dxa"/>
            <w:tcBorders>
              <w:top w:val="nil"/>
              <w:left w:val="nil"/>
              <w:bottom w:val="nil"/>
              <w:right w:val="nil"/>
            </w:tcBorders>
            <w:shd w:val="clear" w:color="auto" w:fill="auto"/>
            <w:hideMark/>
          </w:tcPr>
          <w:p w:rsidR="000B3880" w:rsidRPr="00502467" w:rsidP="00CD4ED8" w14:paraId="5EA79680" w14:textId="77777777">
            <w:pPr>
              <w:spacing w:after="0" w:line="240" w:lineRule="auto"/>
              <w:rPr>
                <w:rFonts w:ascii="Arial Narrow" w:eastAsia="Arial Narrow" w:hAnsi="Arial Narrow" w:cs="Arial Narrow"/>
                <w:sz w:val="16"/>
                <w:szCs w:val="16"/>
              </w:rPr>
            </w:pPr>
          </w:p>
        </w:tc>
        <w:tc>
          <w:tcPr>
            <w:tcW w:w="826" w:type="dxa"/>
            <w:tcBorders>
              <w:top w:val="nil"/>
              <w:left w:val="nil"/>
              <w:bottom w:val="nil"/>
              <w:right w:val="nil"/>
            </w:tcBorders>
            <w:shd w:val="clear" w:color="auto" w:fill="auto"/>
            <w:hideMark/>
          </w:tcPr>
          <w:p w:rsidR="000B3880" w:rsidRPr="00502467" w:rsidP="00CD4ED8" w14:paraId="5E459253"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hideMark/>
          </w:tcPr>
          <w:p w:rsidR="000B3880" w:rsidRPr="00502467" w:rsidP="00CD4ED8" w14:paraId="2E0B7496"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hideMark/>
          </w:tcPr>
          <w:p w:rsidR="000B3880" w:rsidRPr="00502467" w:rsidP="00CD4ED8" w14:paraId="088470B1"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hideMark/>
          </w:tcPr>
          <w:p w:rsidR="000B3880" w:rsidRPr="00502467" w:rsidP="00CD4ED8" w14:paraId="5BE3F3BE" w14:textId="77777777">
            <w:pPr>
              <w:spacing w:after="0" w:line="240" w:lineRule="auto"/>
              <w:rPr>
                <w:rFonts w:ascii="Arial Narrow" w:eastAsia="Arial Narrow" w:hAnsi="Arial Narrow" w:cs="Arial Narrow"/>
                <w:sz w:val="16"/>
                <w:szCs w:val="16"/>
              </w:rPr>
            </w:pPr>
          </w:p>
        </w:tc>
      </w:tr>
      <w:tr w14:paraId="50DB5046"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586D0894"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Finanšu gads</w:t>
            </w:r>
          </w:p>
        </w:tc>
        <w:tc>
          <w:tcPr>
            <w:tcW w:w="224" w:type="dxa"/>
            <w:tcBorders>
              <w:top w:val="nil"/>
              <w:left w:val="nil"/>
              <w:bottom w:val="nil"/>
              <w:right w:val="nil"/>
            </w:tcBorders>
            <w:shd w:val="clear" w:color="auto" w:fill="auto"/>
            <w:noWrap/>
            <w:hideMark/>
          </w:tcPr>
          <w:p w:rsidR="000B3880" w:rsidRPr="00502467" w:rsidP="00CD4ED8" w14:paraId="69EEEF74" w14:textId="77777777">
            <w:pPr>
              <w:spacing w:after="0" w:line="240" w:lineRule="auto"/>
              <w:rPr>
                <w:rFonts w:ascii="Arial Narrow" w:eastAsia="Arial Narrow" w:hAnsi="Arial Narrow" w:cs="Arial Narrow"/>
                <w:color w:val="000000"/>
                <w:sz w:val="16"/>
                <w:szCs w:val="16"/>
              </w:rPr>
            </w:pPr>
          </w:p>
        </w:tc>
        <w:tc>
          <w:tcPr>
            <w:tcW w:w="224" w:type="dxa"/>
            <w:tcBorders>
              <w:top w:val="nil"/>
              <w:left w:val="nil"/>
              <w:bottom w:val="nil"/>
              <w:right w:val="nil"/>
            </w:tcBorders>
            <w:shd w:val="clear" w:color="auto" w:fill="auto"/>
            <w:noWrap/>
            <w:hideMark/>
          </w:tcPr>
          <w:p w:rsidR="000B3880" w:rsidRPr="00502467" w:rsidP="00CD4ED8" w14:paraId="0E651F3E" w14:textId="77777777">
            <w:pPr>
              <w:spacing w:after="0" w:line="240" w:lineRule="auto"/>
              <w:rPr>
                <w:rFonts w:ascii="Arial Narrow" w:eastAsia="Arial Narrow" w:hAnsi="Arial Narrow" w:cs="Arial Narrow"/>
                <w:sz w:val="16"/>
                <w:szCs w:val="16"/>
              </w:rPr>
            </w:pPr>
          </w:p>
        </w:tc>
        <w:tc>
          <w:tcPr>
            <w:tcW w:w="2661" w:type="dxa"/>
            <w:gridSpan w:val="3"/>
            <w:tcBorders>
              <w:top w:val="nil"/>
              <w:left w:val="nil"/>
              <w:bottom w:val="nil"/>
              <w:right w:val="nil"/>
            </w:tcBorders>
            <w:shd w:val="clear" w:color="auto" w:fill="auto"/>
            <w:noWrap/>
            <w:hideMark/>
          </w:tcPr>
          <w:p w:rsidR="000B3880" w:rsidRPr="00502467" w:rsidP="00CD4ED8" w14:paraId="586C48CA"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2021. gada 1. janvāris - 31. decembris</w:t>
            </w:r>
          </w:p>
        </w:tc>
        <w:tc>
          <w:tcPr>
            <w:tcW w:w="826" w:type="dxa"/>
            <w:tcBorders>
              <w:top w:val="nil"/>
              <w:left w:val="nil"/>
              <w:bottom w:val="nil"/>
              <w:right w:val="nil"/>
            </w:tcBorders>
            <w:shd w:val="clear" w:color="auto" w:fill="auto"/>
            <w:noWrap/>
            <w:hideMark/>
          </w:tcPr>
          <w:p w:rsidR="000B3880" w:rsidRPr="00502467" w:rsidP="00CD4ED8" w14:paraId="4D316139" w14:textId="77777777">
            <w:pPr>
              <w:spacing w:after="0" w:line="240" w:lineRule="auto"/>
              <w:rPr>
                <w:rFonts w:ascii="Arial Narrow" w:eastAsia="Arial Narrow" w:hAnsi="Arial Narrow" w:cs="Arial Narrow"/>
                <w:color w:val="000000"/>
                <w:sz w:val="16"/>
                <w:szCs w:val="16"/>
              </w:rPr>
            </w:pPr>
          </w:p>
        </w:tc>
        <w:tc>
          <w:tcPr>
            <w:tcW w:w="1499" w:type="dxa"/>
            <w:tcBorders>
              <w:top w:val="nil"/>
              <w:left w:val="nil"/>
              <w:bottom w:val="nil"/>
              <w:right w:val="nil"/>
            </w:tcBorders>
            <w:shd w:val="clear" w:color="auto" w:fill="auto"/>
            <w:noWrap/>
            <w:hideMark/>
          </w:tcPr>
          <w:p w:rsidR="000B3880" w:rsidRPr="00502467" w:rsidP="00CD4ED8" w14:paraId="7A6B9A80"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0D1315B1"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3033DE13" w14:textId="77777777">
            <w:pPr>
              <w:spacing w:after="0" w:line="240" w:lineRule="auto"/>
              <w:rPr>
                <w:rFonts w:ascii="Arial Narrow" w:eastAsia="Arial Narrow" w:hAnsi="Arial Narrow" w:cs="Arial Narrow"/>
                <w:sz w:val="16"/>
                <w:szCs w:val="16"/>
              </w:rPr>
            </w:pPr>
          </w:p>
        </w:tc>
      </w:tr>
      <w:tr w14:paraId="3AF45356"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08A37150"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013EC26A"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5FB50066" w14:textId="77777777">
            <w:pPr>
              <w:spacing w:after="0" w:line="240" w:lineRule="auto"/>
              <w:rPr>
                <w:rFonts w:ascii="Arial Narrow" w:eastAsia="Arial Narrow" w:hAnsi="Arial Narrow" w:cs="Arial Narrow"/>
                <w:sz w:val="16"/>
                <w:szCs w:val="16"/>
              </w:rPr>
            </w:pPr>
          </w:p>
        </w:tc>
        <w:tc>
          <w:tcPr>
            <w:tcW w:w="1191" w:type="dxa"/>
            <w:tcBorders>
              <w:top w:val="nil"/>
              <w:left w:val="nil"/>
              <w:bottom w:val="nil"/>
              <w:right w:val="nil"/>
            </w:tcBorders>
            <w:shd w:val="clear" w:color="auto" w:fill="auto"/>
            <w:noWrap/>
            <w:hideMark/>
          </w:tcPr>
          <w:p w:rsidR="000B3880" w:rsidRPr="00502467" w:rsidP="00CD4ED8" w14:paraId="3DDD231F" w14:textId="77777777">
            <w:pPr>
              <w:spacing w:after="0" w:line="240" w:lineRule="auto"/>
              <w:rPr>
                <w:rFonts w:ascii="Arial Narrow" w:eastAsia="Arial Narrow" w:hAnsi="Arial Narrow" w:cs="Arial Narrow"/>
                <w:sz w:val="16"/>
                <w:szCs w:val="16"/>
              </w:rPr>
            </w:pPr>
          </w:p>
        </w:tc>
        <w:tc>
          <w:tcPr>
            <w:tcW w:w="681" w:type="dxa"/>
            <w:tcBorders>
              <w:top w:val="nil"/>
              <w:left w:val="nil"/>
              <w:bottom w:val="nil"/>
              <w:right w:val="nil"/>
            </w:tcBorders>
            <w:shd w:val="clear" w:color="auto" w:fill="auto"/>
            <w:noWrap/>
            <w:hideMark/>
          </w:tcPr>
          <w:p w:rsidR="000B3880" w:rsidRPr="00502467" w:rsidP="00CD4ED8" w14:paraId="679927F0" w14:textId="77777777">
            <w:pPr>
              <w:spacing w:after="0" w:line="240" w:lineRule="auto"/>
              <w:rPr>
                <w:rFonts w:ascii="Arial Narrow" w:eastAsia="Arial Narrow" w:hAnsi="Arial Narrow" w:cs="Arial Narrow"/>
                <w:sz w:val="16"/>
                <w:szCs w:val="16"/>
              </w:rPr>
            </w:pPr>
          </w:p>
        </w:tc>
        <w:tc>
          <w:tcPr>
            <w:tcW w:w="789" w:type="dxa"/>
            <w:tcBorders>
              <w:top w:val="nil"/>
              <w:left w:val="nil"/>
              <w:bottom w:val="nil"/>
              <w:right w:val="nil"/>
            </w:tcBorders>
            <w:shd w:val="clear" w:color="auto" w:fill="auto"/>
            <w:noWrap/>
            <w:hideMark/>
          </w:tcPr>
          <w:p w:rsidR="000B3880" w:rsidRPr="00502467" w:rsidP="00CD4ED8" w14:paraId="799E0D8E" w14:textId="77777777">
            <w:pPr>
              <w:spacing w:after="0" w:line="240" w:lineRule="auto"/>
              <w:rPr>
                <w:rFonts w:ascii="Arial Narrow" w:eastAsia="Arial Narrow" w:hAnsi="Arial Narrow" w:cs="Arial Narrow"/>
                <w:sz w:val="16"/>
                <w:szCs w:val="16"/>
              </w:rPr>
            </w:pPr>
          </w:p>
        </w:tc>
        <w:tc>
          <w:tcPr>
            <w:tcW w:w="826" w:type="dxa"/>
            <w:tcBorders>
              <w:top w:val="nil"/>
              <w:left w:val="nil"/>
              <w:bottom w:val="nil"/>
              <w:right w:val="nil"/>
            </w:tcBorders>
            <w:shd w:val="clear" w:color="auto" w:fill="auto"/>
            <w:noWrap/>
            <w:hideMark/>
          </w:tcPr>
          <w:p w:rsidR="000B3880" w:rsidRPr="00502467" w:rsidP="00CD4ED8" w14:paraId="3F7B0BF4"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6E8663C8"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34AEEF2F"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361ABDE9" w14:textId="77777777">
            <w:pPr>
              <w:spacing w:after="0" w:line="240" w:lineRule="auto"/>
              <w:rPr>
                <w:rFonts w:ascii="Arial Narrow" w:eastAsia="Arial Narrow" w:hAnsi="Arial Narrow" w:cs="Arial Narrow"/>
                <w:sz w:val="16"/>
                <w:szCs w:val="16"/>
              </w:rPr>
            </w:pPr>
          </w:p>
        </w:tc>
      </w:tr>
      <w:tr w14:paraId="5D6E0F3C"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4A2DCCDA"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Iepriekšējais finanšu gads</w:t>
            </w:r>
          </w:p>
        </w:tc>
        <w:tc>
          <w:tcPr>
            <w:tcW w:w="224" w:type="dxa"/>
            <w:tcBorders>
              <w:top w:val="nil"/>
              <w:left w:val="nil"/>
              <w:bottom w:val="nil"/>
              <w:right w:val="nil"/>
            </w:tcBorders>
            <w:shd w:val="clear" w:color="auto" w:fill="auto"/>
            <w:noWrap/>
            <w:hideMark/>
          </w:tcPr>
          <w:p w:rsidR="000B3880" w:rsidRPr="00502467" w:rsidP="00CD4ED8" w14:paraId="5A18B364" w14:textId="77777777">
            <w:pPr>
              <w:spacing w:after="0" w:line="240" w:lineRule="auto"/>
              <w:rPr>
                <w:rFonts w:ascii="Arial Narrow" w:eastAsia="Arial Narrow" w:hAnsi="Arial Narrow" w:cs="Arial Narrow"/>
                <w:color w:val="000000"/>
                <w:sz w:val="16"/>
                <w:szCs w:val="16"/>
              </w:rPr>
            </w:pPr>
          </w:p>
        </w:tc>
        <w:tc>
          <w:tcPr>
            <w:tcW w:w="224" w:type="dxa"/>
            <w:tcBorders>
              <w:top w:val="nil"/>
              <w:left w:val="nil"/>
              <w:bottom w:val="nil"/>
              <w:right w:val="nil"/>
            </w:tcBorders>
            <w:shd w:val="clear" w:color="auto" w:fill="auto"/>
            <w:noWrap/>
            <w:hideMark/>
          </w:tcPr>
          <w:p w:rsidR="000B3880" w:rsidRPr="00502467" w:rsidP="00CD4ED8" w14:paraId="00A6E843" w14:textId="77777777">
            <w:pPr>
              <w:spacing w:after="0" w:line="240" w:lineRule="auto"/>
              <w:rPr>
                <w:rFonts w:ascii="Arial Narrow" w:eastAsia="Arial Narrow" w:hAnsi="Arial Narrow" w:cs="Arial Narrow"/>
                <w:sz w:val="16"/>
                <w:szCs w:val="16"/>
              </w:rPr>
            </w:pPr>
          </w:p>
        </w:tc>
        <w:tc>
          <w:tcPr>
            <w:tcW w:w="2661" w:type="dxa"/>
            <w:gridSpan w:val="3"/>
            <w:tcBorders>
              <w:top w:val="nil"/>
              <w:left w:val="nil"/>
              <w:bottom w:val="nil"/>
              <w:right w:val="nil"/>
            </w:tcBorders>
            <w:shd w:val="clear" w:color="auto" w:fill="auto"/>
            <w:noWrap/>
            <w:hideMark/>
          </w:tcPr>
          <w:p w:rsidR="000B3880" w:rsidRPr="00502467" w:rsidP="00CD4ED8" w14:paraId="1E28F928"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2020. gada 1. janvāris - 31. decembris</w:t>
            </w:r>
          </w:p>
        </w:tc>
        <w:tc>
          <w:tcPr>
            <w:tcW w:w="826" w:type="dxa"/>
            <w:tcBorders>
              <w:top w:val="nil"/>
              <w:left w:val="nil"/>
              <w:bottom w:val="nil"/>
              <w:right w:val="nil"/>
            </w:tcBorders>
            <w:shd w:val="clear" w:color="auto" w:fill="auto"/>
            <w:noWrap/>
            <w:hideMark/>
          </w:tcPr>
          <w:p w:rsidR="000B3880" w:rsidRPr="00502467" w:rsidP="00CD4ED8" w14:paraId="24EB2A75" w14:textId="77777777">
            <w:pPr>
              <w:spacing w:after="0" w:line="240" w:lineRule="auto"/>
              <w:rPr>
                <w:rFonts w:ascii="Arial Narrow" w:eastAsia="Arial Narrow" w:hAnsi="Arial Narrow" w:cs="Arial Narrow"/>
                <w:color w:val="000000"/>
                <w:sz w:val="16"/>
                <w:szCs w:val="16"/>
              </w:rPr>
            </w:pPr>
          </w:p>
        </w:tc>
        <w:tc>
          <w:tcPr>
            <w:tcW w:w="1499" w:type="dxa"/>
            <w:tcBorders>
              <w:top w:val="nil"/>
              <w:left w:val="nil"/>
              <w:bottom w:val="nil"/>
              <w:right w:val="nil"/>
            </w:tcBorders>
            <w:shd w:val="clear" w:color="auto" w:fill="auto"/>
            <w:noWrap/>
            <w:hideMark/>
          </w:tcPr>
          <w:p w:rsidR="000B3880" w:rsidRPr="00502467" w:rsidP="00CD4ED8" w14:paraId="6CC88EF3"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6520EA90"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3AD3764C" w14:textId="77777777">
            <w:pPr>
              <w:spacing w:after="0" w:line="240" w:lineRule="auto"/>
              <w:rPr>
                <w:rFonts w:ascii="Arial Narrow" w:eastAsia="Arial Narrow" w:hAnsi="Arial Narrow" w:cs="Arial Narrow"/>
                <w:sz w:val="16"/>
                <w:szCs w:val="16"/>
              </w:rPr>
            </w:pPr>
          </w:p>
        </w:tc>
      </w:tr>
      <w:tr w14:paraId="634A218C"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624B5187"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7E8394FC"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18F78BCC" w14:textId="77777777">
            <w:pPr>
              <w:spacing w:after="0" w:line="240" w:lineRule="auto"/>
              <w:rPr>
                <w:rFonts w:ascii="Arial Narrow" w:eastAsia="Arial Narrow" w:hAnsi="Arial Narrow" w:cs="Arial Narrow"/>
                <w:sz w:val="16"/>
                <w:szCs w:val="16"/>
              </w:rPr>
            </w:pPr>
          </w:p>
        </w:tc>
        <w:tc>
          <w:tcPr>
            <w:tcW w:w="1191" w:type="dxa"/>
            <w:tcBorders>
              <w:top w:val="nil"/>
              <w:left w:val="nil"/>
              <w:bottom w:val="nil"/>
              <w:right w:val="nil"/>
            </w:tcBorders>
            <w:shd w:val="clear" w:color="auto" w:fill="auto"/>
            <w:noWrap/>
            <w:hideMark/>
          </w:tcPr>
          <w:p w:rsidR="000B3880" w:rsidRPr="00502467" w:rsidP="00CD4ED8" w14:paraId="6BBADB83" w14:textId="77777777">
            <w:pPr>
              <w:spacing w:after="0" w:line="240" w:lineRule="auto"/>
              <w:rPr>
                <w:rFonts w:ascii="Arial Narrow" w:eastAsia="Arial Narrow" w:hAnsi="Arial Narrow" w:cs="Arial Narrow"/>
                <w:sz w:val="16"/>
                <w:szCs w:val="16"/>
              </w:rPr>
            </w:pPr>
          </w:p>
        </w:tc>
        <w:tc>
          <w:tcPr>
            <w:tcW w:w="681" w:type="dxa"/>
            <w:tcBorders>
              <w:top w:val="nil"/>
              <w:left w:val="nil"/>
              <w:bottom w:val="nil"/>
              <w:right w:val="nil"/>
            </w:tcBorders>
            <w:shd w:val="clear" w:color="auto" w:fill="auto"/>
            <w:noWrap/>
            <w:hideMark/>
          </w:tcPr>
          <w:p w:rsidR="000B3880" w:rsidRPr="00502467" w:rsidP="00CD4ED8" w14:paraId="7A841896" w14:textId="77777777">
            <w:pPr>
              <w:spacing w:after="0" w:line="240" w:lineRule="auto"/>
              <w:rPr>
                <w:rFonts w:ascii="Arial Narrow" w:eastAsia="Arial Narrow" w:hAnsi="Arial Narrow" w:cs="Arial Narrow"/>
                <w:sz w:val="16"/>
                <w:szCs w:val="16"/>
              </w:rPr>
            </w:pPr>
          </w:p>
        </w:tc>
        <w:tc>
          <w:tcPr>
            <w:tcW w:w="789" w:type="dxa"/>
            <w:tcBorders>
              <w:top w:val="nil"/>
              <w:left w:val="nil"/>
              <w:bottom w:val="nil"/>
              <w:right w:val="nil"/>
            </w:tcBorders>
            <w:shd w:val="clear" w:color="auto" w:fill="auto"/>
            <w:noWrap/>
            <w:hideMark/>
          </w:tcPr>
          <w:p w:rsidR="000B3880" w:rsidRPr="00502467" w:rsidP="00CD4ED8" w14:paraId="38B03731" w14:textId="77777777">
            <w:pPr>
              <w:spacing w:after="0" w:line="240" w:lineRule="auto"/>
              <w:rPr>
                <w:rFonts w:ascii="Arial Narrow" w:eastAsia="Arial Narrow" w:hAnsi="Arial Narrow" w:cs="Arial Narrow"/>
                <w:sz w:val="16"/>
                <w:szCs w:val="16"/>
              </w:rPr>
            </w:pPr>
          </w:p>
        </w:tc>
        <w:tc>
          <w:tcPr>
            <w:tcW w:w="826" w:type="dxa"/>
            <w:tcBorders>
              <w:top w:val="nil"/>
              <w:left w:val="nil"/>
              <w:bottom w:val="nil"/>
              <w:right w:val="nil"/>
            </w:tcBorders>
            <w:shd w:val="clear" w:color="auto" w:fill="auto"/>
            <w:noWrap/>
            <w:hideMark/>
          </w:tcPr>
          <w:p w:rsidR="000B3880" w:rsidRPr="00502467" w:rsidP="00CD4ED8" w14:paraId="5B4220A6"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12EB75F2"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6E187F22"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3CD21A5C" w14:textId="77777777">
            <w:pPr>
              <w:spacing w:after="0" w:line="240" w:lineRule="auto"/>
              <w:rPr>
                <w:rFonts w:ascii="Arial Narrow" w:eastAsia="Arial Narrow" w:hAnsi="Arial Narrow" w:cs="Arial Narrow"/>
                <w:sz w:val="16"/>
                <w:szCs w:val="16"/>
              </w:rPr>
            </w:pPr>
          </w:p>
        </w:tc>
      </w:tr>
      <w:tr w14:paraId="2B0B9E4D"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2DF5E7CE"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4DCA8B8C"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6E585F29" w14:textId="77777777">
            <w:pPr>
              <w:spacing w:after="0" w:line="240" w:lineRule="auto"/>
              <w:rPr>
                <w:rFonts w:ascii="Arial Narrow" w:eastAsia="Arial Narrow" w:hAnsi="Arial Narrow" w:cs="Arial Narrow"/>
                <w:sz w:val="16"/>
                <w:szCs w:val="16"/>
              </w:rPr>
            </w:pPr>
          </w:p>
        </w:tc>
        <w:tc>
          <w:tcPr>
            <w:tcW w:w="1191" w:type="dxa"/>
            <w:tcBorders>
              <w:top w:val="nil"/>
              <w:left w:val="nil"/>
              <w:bottom w:val="nil"/>
              <w:right w:val="nil"/>
            </w:tcBorders>
            <w:shd w:val="clear" w:color="auto" w:fill="auto"/>
            <w:noWrap/>
            <w:hideMark/>
          </w:tcPr>
          <w:p w:rsidR="000B3880" w:rsidRPr="00502467" w:rsidP="00CD4ED8" w14:paraId="4F4797E9" w14:textId="77777777">
            <w:pPr>
              <w:spacing w:after="0" w:line="240" w:lineRule="auto"/>
              <w:rPr>
                <w:rFonts w:ascii="Arial Narrow" w:eastAsia="Arial Narrow" w:hAnsi="Arial Narrow" w:cs="Arial Narrow"/>
                <w:sz w:val="16"/>
                <w:szCs w:val="16"/>
              </w:rPr>
            </w:pPr>
          </w:p>
        </w:tc>
        <w:tc>
          <w:tcPr>
            <w:tcW w:w="681" w:type="dxa"/>
            <w:tcBorders>
              <w:top w:val="nil"/>
              <w:left w:val="nil"/>
              <w:bottom w:val="nil"/>
              <w:right w:val="nil"/>
            </w:tcBorders>
            <w:shd w:val="clear" w:color="auto" w:fill="auto"/>
            <w:noWrap/>
            <w:hideMark/>
          </w:tcPr>
          <w:p w:rsidR="000B3880" w:rsidRPr="00502467" w:rsidP="00CD4ED8" w14:paraId="089BB4C4" w14:textId="77777777">
            <w:pPr>
              <w:spacing w:after="0" w:line="240" w:lineRule="auto"/>
              <w:rPr>
                <w:rFonts w:ascii="Arial Narrow" w:eastAsia="Arial Narrow" w:hAnsi="Arial Narrow" w:cs="Arial Narrow"/>
                <w:sz w:val="16"/>
                <w:szCs w:val="16"/>
              </w:rPr>
            </w:pPr>
          </w:p>
        </w:tc>
        <w:tc>
          <w:tcPr>
            <w:tcW w:w="789" w:type="dxa"/>
            <w:tcBorders>
              <w:top w:val="nil"/>
              <w:left w:val="nil"/>
              <w:bottom w:val="nil"/>
              <w:right w:val="nil"/>
            </w:tcBorders>
            <w:shd w:val="clear" w:color="auto" w:fill="auto"/>
            <w:noWrap/>
            <w:hideMark/>
          </w:tcPr>
          <w:p w:rsidR="000B3880" w:rsidRPr="00502467" w:rsidP="00CD4ED8" w14:paraId="587284FD" w14:textId="77777777">
            <w:pPr>
              <w:spacing w:after="0" w:line="240" w:lineRule="auto"/>
              <w:rPr>
                <w:rFonts w:ascii="Arial Narrow" w:eastAsia="Arial Narrow" w:hAnsi="Arial Narrow" w:cs="Arial Narrow"/>
                <w:sz w:val="16"/>
                <w:szCs w:val="16"/>
              </w:rPr>
            </w:pPr>
          </w:p>
        </w:tc>
        <w:tc>
          <w:tcPr>
            <w:tcW w:w="826" w:type="dxa"/>
            <w:tcBorders>
              <w:top w:val="nil"/>
              <w:left w:val="nil"/>
              <w:bottom w:val="nil"/>
              <w:right w:val="nil"/>
            </w:tcBorders>
            <w:shd w:val="clear" w:color="auto" w:fill="auto"/>
            <w:noWrap/>
            <w:hideMark/>
          </w:tcPr>
          <w:p w:rsidR="000B3880" w:rsidRPr="00502467" w:rsidP="00CD4ED8" w14:paraId="3C64CA2F"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01AD329D"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6C7B53B9"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5247E43B" w14:textId="77777777">
            <w:pPr>
              <w:spacing w:after="0" w:line="240" w:lineRule="auto"/>
              <w:rPr>
                <w:rFonts w:ascii="Arial Narrow" w:eastAsia="Arial Narrow" w:hAnsi="Arial Narrow" w:cs="Arial Narrow"/>
                <w:sz w:val="16"/>
                <w:szCs w:val="16"/>
              </w:rPr>
            </w:pPr>
          </w:p>
        </w:tc>
      </w:tr>
      <w:tr w14:paraId="0F7C3386"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77C4B4E7"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Revidenti</w:t>
            </w:r>
          </w:p>
        </w:tc>
        <w:tc>
          <w:tcPr>
            <w:tcW w:w="224" w:type="dxa"/>
            <w:tcBorders>
              <w:top w:val="nil"/>
              <w:left w:val="nil"/>
              <w:bottom w:val="nil"/>
              <w:right w:val="nil"/>
            </w:tcBorders>
            <w:shd w:val="clear" w:color="auto" w:fill="auto"/>
            <w:noWrap/>
            <w:hideMark/>
          </w:tcPr>
          <w:p w:rsidR="000B3880" w:rsidRPr="00502467" w:rsidP="00CD4ED8" w14:paraId="505D0651" w14:textId="77777777">
            <w:pPr>
              <w:spacing w:after="0" w:line="240" w:lineRule="auto"/>
              <w:rPr>
                <w:rFonts w:ascii="Arial Narrow" w:eastAsia="Arial Narrow" w:hAnsi="Arial Narrow" w:cs="Arial Narrow"/>
                <w:color w:val="000000"/>
                <w:sz w:val="16"/>
                <w:szCs w:val="16"/>
              </w:rPr>
            </w:pPr>
          </w:p>
        </w:tc>
        <w:tc>
          <w:tcPr>
            <w:tcW w:w="224" w:type="dxa"/>
            <w:tcBorders>
              <w:top w:val="nil"/>
              <w:left w:val="nil"/>
              <w:bottom w:val="nil"/>
              <w:right w:val="nil"/>
            </w:tcBorders>
            <w:shd w:val="clear" w:color="auto" w:fill="auto"/>
            <w:noWrap/>
            <w:hideMark/>
          </w:tcPr>
          <w:p w:rsidR="000B3880" w:rsidRPr="00502467" w:rsidP="00CD4ED8" w14:paraId="1BC829C5" w14:textId="77777777">
            <w:pPr>
              <w:spacing w:after="0" w:line="240" w:lineRule="auto"/>
              <w:rPr>
                <w:rFonts w:ascii="Arial Narrow" w:eastAsia="Arial Narrow" w:hAnsi="Arial Narrow" w:cs="Arial Narrow"/>
                <w:sz w:val="16"/>
                <w:szCs w:val="16"/>
              </w:rPr>
            </w:pPr>
          </w:p>
        </w:tc>
        <w:tc>
          <w:tcPr>
            <w:tcW w:w="1872" w:type="dxa"/>
            <w:gridSpan w:val="2"/>
            <w:tcBorders>
              <w:top w:val="nil"/>
              <w:left w:val="nil"/>
              <w:bottom w:val="nil"/>
              <w:right w:val="nil"/>
            </w:tcBorders>
            <w:shd w:val="clear" w:color="auto" w:fill="auto"/>
            <w:noWrap/>
            <w:hideMark/>
          </w:tcPr>
          <w:p w:rsidR="000B3880" w:rsidRPr="00502467" w:rsidP="00CD4ED8" w14:paraId="68F723F6" w14:textId="07FE58F5">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 xml:space="preserve">KPMG Baltics </w:t>
            </w:r>
            <w:r>
              <w:rPr>
                <w:rFonts w:ascii="Arial Narrow" w:eastAsia="Arial Narrow" w:hAnsi="Arial Narrow" w:cs="Arial Narrow"/>
                <w:color w:val="000000"/>
                <w:sz w:val="16"/>
                <w:szCs w:val="16"/>
              </w:rPr>
              <w:t>SIA</w:t>
            </w:r>
          </w:p>
        </w:tc>
        <w:tc>
          <w:tcPr>
            <w:tcW w:w="789" w:type="dxa"/>
            <w:tcBorders>
              <w:top w:val="nil"/>
              <w:left w:val="nil"/>
              <w:bottom w:val="nil"/>
              <w:right w:val="nil"/>
            </w:tcBorders>
            <w:shd w:val="clear" w:color="auto" w:fill="auto"/>
            <w:noWrap/>
            <w:hideMark/>
          </w:tcPr>
          <w:p w:rsidR="000B3880" w:rsidRPr="00502467" w:rsidP="00CD4ED8" w14:paraId="6C2B7373" w14:textId="77777777">
            <w:pPr>
              <w:spacing w:after="0" w:line="240" w:lineRule="auto"/>
              <w:rPr>
                <w:rFonts w:ascii="Arial Narrow" w:eastAsia="Arial Narrow" w:hAnsi="Arial Narrow" w:cs="Arial Narrow"/>
                <w:color w:val="000000"/>
                <w:sz w:val="16"/>
                <w:szCs w:val="16"/>
              </w:rPr>
            </w:pPr>
          </w:p>
        </w:tc>
        <w:tc>
          <w:tcPr>
            <w:tcW w:w="826" w:type="dxa"/>
            <w:tcBorders>
              <w:top w:val="nil"/>
              <w:left w:val="nil"/>
              <w:bottom w:val="nil"/>
              <w:right w:val="nil"/>
            </w:tcBorders>
            <w:shd w:val="clear" w:color="auto" w:fill="auto"/>
            <w:noWrap/>
            <w:hideMark/>
          </w:tcPr>
          <w:p w:rsidR="000B3880" w:rsidRPr="00502467" w:rsidP="00CD4ED8" w14:paraId="59F8EFDF"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3E1729D5"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19ACB8D5"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123B7ECD" w14:textId="77777777">
            <w:pPr>
              <w:spacing w:after="0" w:line="240" w:lineRule="auto"/>
              <w:rPr>
                <w:rFonts w:ascii="Arial Narrow" w:eastAsia="Arial Narrow" w:hAnsi="Arial Narrow" w:cs="Arial Narrow"/>
                <w:sz w:val="16"/>
                <w:szCs w:val="16"/>
              </w:rPr>
            </w:pPr>
          </w:p>
        </w:tc>
      </w:tr>
      <w:tr w14:paraId="3F6ACFBF"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2AD1663C"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3E4BDB5F"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7F2BA19A" w14:textId="77777777">
            <w:pPr>
              <w:spacing w:after="0" w:line="240" w:lineRule="auto"/>
              <w:rPr>
                <w:rFonts w:ascii="Arial Narrow" w:eastAsia="Arial Narrow" w:hAnsi="Arial Narrow" w:cs="Arial Narrow"/>
                <w:sz w:val="16"/>
                <w:szCs w:val="16"/>
              </w:rPr>
            </w:pPr>
          </w:p>
        </w:tc>
        <w:tc>
          <w:tcPr>
            <w:tcW w:w="3487" w:type="dxa"/>
            <w:gridSpan w:val="4"/>
            <w:tcBorders>
              <w:top w:val="nil"/>
              <w:left w:val="nil"/>
              <w:bottom w:val="nil"/>
              <w:right w:val="nil"/>
            </w:tcBorders>
            <w:shd w:val="clear" w:color="auto" w:fill="auto"/>
            <w:noWrap/>
            <w:hideMark/>
          </w:tcPr>
          <w:p w:rsidR="000B3880" w:rsidRPr="00502467" w:rsidP="00CD4ED8" w14:paraId="47E385D5"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 xml:space="preserve">Zvērinātu revidentu </w:t>
            </w:r>
            <w:r w:rsidRPr="00502467">
              <w:rPr>
                <w:rFonts w:ascii="Arial Narrow" w:eastAsia="Arial Narrow" w:hAnsi="Arial Narrow" w:cs="Arial Narrow"/>
                <w:color w:val="000000"/>
                <w:sz w:val="16"/>
                <w:szCs w:val="16"/>
              </w:rPr>
              <w:t>komercsabiedrības licence Nr. 55</w:t>
            </w:r>
          </w:p>
        </w:tc>
        <w:tc>
          <w:tcPr>
            <w:tcW w:w="1499" w:type="dxa"/>
            <w:tcBorders>
              <w:top w:val="nil"/>
              <w:left w:val="nil"/>
              <w:bottom w:val="nil"/>
              <w:right w:val="nil"/>
            </w:tcBorders>
            <w:shd w:val="clear" w:color="auto" w:fill="auto"/>
            <w:noWrap/>
            <w:hideMark/>
          </w:tcPr>
          <w:p w:rsidR="000B3880" w:rsidRPr="00502467" w:rsidP="00CD4ED8" w14:paraId="7E922400" w14:textId="77777777">
            <w:pPr>
              <w:spacing w:after="0" w:line="240" w:lineRule="auto"/>
              <w:rPr>
                <w:rFonts w:ascii="Arial Narrow" w:eastAsia="Arial Narrow" w:hAnsi="Arial Narrow" w:cs="Arial Narrow"/>
                <w:color w:val="000000"/>
                <w:sz w:val="16"/>
                <w:szCs w:val="16"/>
              </w:rPr>
            </w:pPr>
          </w:p>
        </w:tc>
        <w:tc>
          <w:tcPr>
            <w:tcW w:w="802" w:type="dxa"/>
            <w:tcBorders>
              <w:top w:val="nil"/>
              <w:left w:val="nil"/>
              <w:bottom w:val="nil"/>
              <w:right w:val="nil"/>
            </w:tcBorders>
            <w:shd w:val="clear" w:color="auto" w:fill="auto"/>
            <w:noWrap/>
            <w:hideMark/>
          </w:tcPr>
          <w:p w:rsidR="000B3880" w:rsidRPr="00502467" w:rsidP="00CD4ED8" w14:paraId="477C1C38"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7F5372DF" w14:textId="77777777">
            <w:pPr>
              <w:spacing w:after="0" w:line="240" w:lineRule="auto"/>
              <w:rPr>
                <w:rFonts w:ascii="Arial Narrow" w:eastAsia="Arial Narrow" w:hAnsi="Arial Narrow" w:cs="Arial Narrow"/>
                <w:sz w:val="16"/>
                <w:szCs w:val="16"/>
              </w:rPr>
            </w:pPr>
          </w:p>
        </w:tc>
      </w:tr>
      <w:tr w14:paraId="560065EF"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7FB09A3D"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351A1DC8"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45F552CE" w14:textId="77777777">
            <w:pPr>
              <w:spacing w:after="0" w:line="240" w:lineRule="auto"/>
              <w:rPr>
                <w:rFonts w:ascii="Arial Narrow" w:eastAsia="Arial Narrow" w:hAnsi="Arial Narrow" w:cs="Arial Narrow"/>
                <w:sz w:val="16"/>
                <w:szCs w:val="16"/>
              </w:rPr>
            </w:pPr>
          </w:p>
        </w:tc>
        <w:tc>
          <w:tcPr>
            <w:tcW w:w="2661" w:type="dxa"/>
            <w:gridSpan w:val="3"/>
            <w:tcBorders>
              <w:top w:val="nil"/>
              <w:left w:val="nil"/>
              <w:bottom w:val="nil"/>
              <w:right w:val="nil"/>
            </w:tcBorders>
            <w:shd w:val="clear" w:color="auto" w:fill="auto"/>
            <w:noWrap/>
            <w:hideMark/>
          </w:tcPr>
          <w:p w:rsidR="000B3880" w:rsidRPr="00502467" w:rsidP="00CD4ED8" w14:paraId="6F7677CF"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Vesetas iela 7, Rīga, Latvija, LV-1013</w:t>
            </w:r>
          </w:p>
        </w:tc>
        <w:tc>
          <w:tcPr>
            <w:tcW w:w="826" w:type="dxa"/>
            <w:tcBorders>
              <w:top w:val="nil"/>
              <w:left w:val="nil"/>
              <w:bottom w:val="nil"/>
              <w:right w:val="nil"/>
            </w:tcBorders>
            <w:shd w:val="clear" w:color="auto" w:fill="auto"/>
            <w:noWrap/>
            <w:hideMark/>
          </w:tcPr>
          <w:p w:rsidR="000B3880" w:rsidRPr="00502467" w:rsidP="00CD4ED8" w14:paraId="2EDF2B46" w14:textId="77777777">
            <w:pPr>
              <w:spacing w:after="0" w:line="240" w:lineRule="auto"/>
              <w:rPr>
                <w:rFonts w:ascii="Arial Narrow" w:eastAsia="Arial Narrow" w:hAnsi="Arial Narrow" w:cs="Arial Narrow"/>
                <w:color w:val="000000"/>
                <w:sz w:val="16"/>
                <w:szCs w:val="16"/>
              </w:rPr>
            </w:pPr>
          </w:p>
        </w:tc>
        <w:tc>
          <w:tcPr>
            <w:tcW w:w="1499" w:type="dxa"/>
            <w:tcBorders>
              <w:top w:val="nil"/>
              <w:left w:val="nil"/>
              <w:bottom w:val="nil"/>
              <w:right w:val="nil"/>
            </w:tcBorders>
            <w:shd w:val="clear" w:color="auto" w:fill="auto"/>
            <w:noWrap/>
            <w:hideMark/>
          </w:tcPr>
          <w:p w:rsidR="000B3880" w:rsidRPr="00502467" w:rsidP="00CD4ED8" w14:paraId="428BE5A3"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0BF56374"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5FF50652" w14:textId="77777777">
            <w:pPr>
              <w:spacing w:after="0" w:line="240" w:lineRule="auto"/>
              <w:rPr>
                <w:rFonts w:ascii="Arial Narrow" w:eastAsia="Arial Narrow" w:hAnsi="Arial Narrow" w:cs="Arial Narrow"/>
                <w:sz w:val="16"/>
                <w:szCs w:val="16"/>
              </w:rPr>
            </w:pPr>
          </w:p>
        </w:tc>
      </w:tr>
      <w:tr w14:paraId="24FD3779"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68535C1C"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610199A7"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157082B3" w14:textId="77777777">
            <w:pPr>
              <w:spacing w:after="0" w:line="240" w:lineRule="auto"/>
              <w:rPr>
                <w:rFonts w:ascii="Arial Narrow" w:eastAsia="Arial Narrow" w:hAnsi="Arial Narrow" w:cs="Arial Narrow"/>
                <w:sz w:val="16"/>
                <w:szCs w:val="16"/>
              </w:rPr>
            </w:pPr>
          </w:p>
        </w:tc>
        <w:tc>
          <w:tcPr>
            <w:tcW w:w="1191" w:type="dxa"/>
            <w:tcBorders>
              <w:top w:val="nil"/>
              <w:left w:val="nil"/>
              <w:bottom w:val="nil"/>
              <w:right w:val="nil"/>
            </w:tcBorders>
            <w:shd w:val="clear" w:color="auto" w:fill="auto"/>
            <w:noWrap/>
            <w:hideMark/>
          </w:tcPr>
          <w:p w:rsidR="000B3880" w:rsidRPr="00502467" w:rsidP="00CD4ED8" w14:paraId="1852B724" w14:textId="77777777">
            <w:pPr>
              <w:spacing w:after="0" w:line="240" w:lineRule="auto"/>
              <w:rPr>
                <w:rFonts w:ascii="Arial Narrow" w:eastAsia="Arial Narrow" w:hAnsi="Arial Narrow" w:cs="Arial Narrow"/>
                <w:sz w:val="16"/>
                <w:szCs w:val="16"/>
              </w:rPr>
            </w:pPr>
          </w:p>
        </w:tc>
        <w:tc>
          <w:tcPr>
            <w:tcW w:w="681" w:type="dxa"/>
            <w:tcBorders>
              <w:top w:val="nil"/>
              <w:left w:val="nil"/>
              <w:bottom w:val="nil"/>
              <w:right w:val="nil"/>
            </w:tcBorders>
            <w:shd w:val="clear" w:color="auto" w:fill="auto"/>
            <w:noWrap/>
            <w:hideMark/>
          </w:tcPr>
          <w:p w:rsidR="000B3880" w:rsidRPr="00502467" w:rsidP="00CD4ED8" w14:paraId="384896B4" w14:textId="77777777">
            <w:pPr>
              <w:spacing w:after="0" w:line="240" w:lineRule="auto"/>
              <w:rPr>
                <w:rFonts w:ascii="Arial Narrow" w:eastAsia="Arial Narrow" w:hAnsi="Arial Narrow" w:cs="Arial Narrow"/>
                <w:sz w:val="16"/>
                <w:szCs w:val="16"/>
              </w:rPr>
            </w:pPr>
          </w:p>
        </w:tc>
        <w:tc>
          <w:tcPr>
            <w:tcW w:w="789" w:type="dxa"/>
            <w:tcBorders>
              <w:top w:val="nil"/>
              <w:left w:val="nil"/>
              <w:bottom w:val="nil"/>
              <w:right w:val="nil"/>
            </w:tcBorders>
            <w:shd w:val="clear" w:color="auto" w:fill="auto"/>
            <w:noWrap/>
            <w:hideMark/>
          </w:tcPr>
          <w:p w:rsidR="000B3880" w:rsidRPr="00502467" w:rsidP="00CD4ED8" w14:paraId="53CA3AD3" w14:textId="77777777">
            <w:pPr>
              <w:spacing w:after="0" w:line="240" w:lineRule="auto"/>
              <w:rPr>
                <w:rFonts w:ascii="Arial Narrow" w:eastAsia="Arial Narrow" w:hAnsi="Arial Narrow" w:cs="Arial Narrow"/>
                <w:sz w:val="16"/>
                <w:szCs w:val="16"/>
              </w:rPr>
            </w:pPr>
          </w:p>
        </w:tc>
        <w:tc>
          <w:tcPr>
            <w:tcW w:w="826" w:type="dxa"/>
            <w:tcBorders>
              <w:top w:val="nil"/>
              <w:left w:val="nil"/>
              <w:bottom w:val="nil"/>
              <w:right w:val="nil"/>
            </w:tcBorders>
            <w:shd w:val="clear" w:color="auto" w:fill="auto"/>
            <w:noWrap/>
            <w:hideMark/>
          </w:tcPr>
          <w:p w:rsidR="000B3880" w:rsidRPr="00502467" w:rsidP="00CD4ED8" w14:paraId="103F9CC7"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736E35E3"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66163D20"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7E33D19C" w14:textId="77777777">
            <w:pPr>
              <w:spacing w:after="0" w:line="240" w:lineRule="auto"/>
              <w:rPr>
                <w:rFonts w:ascii="Arial Narrow" w:eastAsia="Arial Narrow" w:hAnsi="Arial Narrow" w:cs="Arial Narrow"/>
                <w:sz w:val="16"/>
                <w:szCs w:val="16"/>
              </w:rPr>
            </w:pPr>
          </w:p>
        </w:tc>
      </w:tr>
      <w:tr w14:paraId="62F288E7"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2145E2B8"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11176472"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49751459" w14:textId="77777777">
            <w:pPr>
              <w:spacing w:after="0" w:line="240" w:lineRule="auto"/>
              <w:rPr>
                <w:rFonts w:ascii="Arial Narrow" w:eastAsia="Arial Narrow" w:hAnsi="Arial Narrow" w:cs="Arial Narrow"/>
                <w:sz w:val="16"/>
                <w:szCs w:val="16"/>
              </w:rPr>
            </w:pPr>
          </w:p>
        </w:tc>
        <w:tc>
          <w:tcPr>
            <w:tcW w:w="2661" w:type="dxa"/>
            <w:gridSpan w:val="3"/>
            <w:tcBorders>
              <w:top w:val="nil"/>
              <w:left w:val="nil"/>
              <w:bottom w:val="nil"/>
              <w:right w:val="nil"/>
            </w:tcBorders>
            <w:shd w:val="clear" w:color="auto" w:fill="auto"/>
            <w:noWrap/>
            <w:hideMark/>
          </w:tcPr>
          <w:p w:rsidR="000B3880" w:rsidRPr="00502467" w:rsidP="00CD4ED8" w14:paraId="2B9A773F"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Atbildīgā zvērinātā revidente</w:t>
            </w:r>
          </w:p>
        </w:tc>
        <w:tc>
          <w:tcPr>
            <w:tcW w:w="826" w:type="dxa"/>
            <w:tcBorders>
              <w:top w:val="nil"/>
              <w:left w:val="nil"/>
              <w:bottom w:val="nil"/>
              <w:right w:val="nil"/>
            </w:tcBorders>
            <w:shd w:val="clear" w:color="auto" w:fill="auto"/>
            <w:noWrap/>
            <w:hideMark/>
          </w:tcPr>
          <w:p w:rsidR="000B3880" w:rsidRPr="00502467" w:rsidP="00CD4ED8" w14:paraId="5FDD685A" w14:textId="77777777">
            <w:pPr>
              <w:spacing w:after="0" w:line="240" w:lineRule="auto"/>
              <w:rPr>
                <w:rFonts w:ascii="Arial Narrow" w:eastAsia="Arial Narrow" w:hAnsi="Arial Narrow" w:cs="Arial Narrow"/>
                <w:color w:val="000000"/>
                <w:sz w:val="16"/>
                <w:szCs w:val="16"/>
              </w:rPr>
            </w:pPr>
          </w:p>
        </w:tc>
        <w:tc>
          <w:tcPr>
            <w:tcW w:w="1499" w:type="dxa"/>
            <w:tcBorders>
              <w:top w:val="nil"/>
              <w:left w:val="nil"/>
              <w:bottom w:val="nil"/>
              <w:right w:val="nil"/>
            </w:tcBorders>
            <w:shd w:val="clear" w:color="auto" w:fill="auto"/>
            <w:noWrap/>
            <w:hideMark/>
          </w:tcPr>
          <w:p w:rsidR="000B3880" w:rsidRPr="00502467" w:rsidP="00CD4ED8" w14:paraId="4BF934F0"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3270B8C6"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296D58C0" w14:textId="77777777">
            <w:pPr>
              <w:spacing w:after="0" w:line="240" w:lineRule="auto"/>
              <w:rPr>
                <w:rFonts w:ascii="Arial Narrow" w:eastAsia="Arial Narrow" w:hAnsi="Arial Narrow" w:cs="Arial Narrow"/>
                <w:sz w:val="16"/>
                <w:szCs w:val="16"/>
              </w:rPr>
            </w:pPr>
          </w:p>
        </w:tc>
      </w:tr>
      <w:tr w14:paraId="275FA791"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0D7AE6E1"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3EF7FADD"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4A5FC1CF" w14:textId="77777777">
            <w:pPr>
              <w:spacing w:after="0" w:line="240" w:lineRule="auto"/>
              <w:rPr>
                <w:rFonts w:ascii="Arial Narrow" w:eastAsia="Arial Narrow" w:hAnsi="Arial Narrow" w:cs="Arial Narrow"/>
                <w:sz w:val="16"/>
                <w:szCs w:val="16"/>
              </w:rPr>
            </w:pPr>
          </w:p>
        </w:tc>
        <w:tc>
          <w:tcPr>
            <w:tcW w:w="1872" w:type="dxa"/>
            <w:gridSpan w:val="2"/>
            <w:tcBorders>
              <w:top w:val="nil"/>
              <w:left w:val="nil"/>
              <w:bottom w:val="nil"/>
              <w:right w:val="nil"/>
            </w:tcBorders>
            <w:shd w:val="clear" w:color="auto" w:fill="auto"/>
            <w:noWrap/>
            <w:hideMark/>
          </w:tcPr>
          <w:p w:rsidR="000B3880" w:rsidRPr="00502467" w:rsidP="00CD4ED8" w14:paraId="569AEDA7"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Armine Movsisjana</w:t>
            </w:r>
          </w:p>
        </w:tc>
        <w:tc>
          <w:tcPr>
            <w:tcW w:w="789" w:type="dxa"/>
            <w:tcBorders>
              <w:top w:val="nil"/>
              <w:left w:val="nil"/>
              <w:bottom w:val="nil"/>
              <w:right w:val="nil"/>
            </w:tcBorders>
            <w:shd w:val="clear" w:color="auto" w:fill="auto"/>
            <w:noWrap/>
            <w:hideMark/>
          </w:tcPr>
          <w:p w:rsidR="000B3880" w:rsidRPr="00502467" w:rsidP="00CD4ED8" w14:paraId="109BF623" w14:textId="77777777">
            <w:pPr>
              <w:spacing w:after="0" w:line="240" w:lineRule="auto"/>
              <w:rPr>
                <w:rFonts w:ascii="Arial Narrow" w:eastAsia="Arial Narrow" w:hAnsi="Arial Narrow" w:cs="Arial Narrow"/>
                <w:color w:val="000000"/>
                <w:sz w:val="16"/>
                <w:szCs w:val="16"/>
              </w:rPr>
            </w:pPr>
          </w:p>
        </w:tc>
        <w:tc>
          <w:tcPr>
            <w:tcW w:w="826" w:type="dxa"/>
            <w:tcBorders>
              <w:top w:val="nil"/>
              <w:left w:val="nil"/>
              <w:bottom w:val="nil"/>
              <w:right w:val="nil"/>
            </w:tcBorders>
            <w:shd w:val="clear" w:color="auto" w:fill="auto"/>
            <w:noWrap/>
            <w:hideMark/>
          </w:tcPr>
          <w:p w:rsidR="000B3880" w:rsidRPr="00502467" w:rsidP="00CD4ED8" w14:paraId="4A3E67B8"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571DD0DD"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2DE29204"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68087439" w14:textId="77777777">
            <w:pPr>
              <w:spacing w:after="0" w:line="240" w:lineRule="auto"/>
              <w:rPr>
                <w:rFonts w:ascii="Arial Narrow" w:eastAsia="Arial Narrow" w:hAnsi="Arial Narrow" w:cs="Arial Narrow"/>
                <w:sz w:val="16"/>
                <w:szCs w:val="16"/>
              </w:rPr>
            </w:pPr>
          </w:p>
        </w:tc>
      </w:tr>
      <w:tr w14:paraId="3D9920CD" w14:textId="77777777" w:rsidTr="00CD4ED8">
        <w:tblPrEx>
          <w:tblW w:w="10422" w:type="dxa"/>
          <w:tblInd w:w="633" w:type="dxa"/>
          <w:tblLook w:val="04A0"/>
        </w:tblPrEx>
        <w:trPr>
          <w:gridAfter w:val="1"/>
          <w:wAfter w:w="6" w:type="dxa"/>
          <w:trHeight w:val="282"/>
        </w:trPr>
        <w:tc>
          <w:tcPr>
            <w:tcW w:w="3319" w:type="dxa"/>
            <w:tcBorders>
              <w:top w:val="nil"/>
              <w:left w:val="nil"/>
              <w:bottom w:val="nil"/>
              <w:right w:val="nil"/>
            </w:tcBorders>
            <w:shd w:val="clear" w:color="auto" w:fill="auto"/>
            <w:noWrap/>
            <w:hideMark/>
          </w:tcPr>
          <w:p w:rsidR="000B3880" w:rsidRPr="00502467" w:rsidP="00CD4ED8" w14:paraId="1BAC3EFE"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39F95D88" w14:textId="77777777">
            <w:pPr>
              <w:spacing w:after="0" w:line="240" w:lineRule="auto"/>
              <w:rPr>
                <w:rFonts w:ascii="Arial Narrow" w:eastAsia="Arial Narrow" w:hAnsi="Arial Narrow" w:cs="Arial Narrow"/>
                <w:sz w:val="16"/>
                <w:szCs w:val="16"/>
              </w:rPr>
            </w:pPr>
          </w:p>
        </w:tc>
        <w:tc>
          <w:tcPr>
            <w:tcW w:w="224" w:type="dxa"/>
            <w:tcBorders>
              <w:top w:val="nil"/>
              <w:left w:val="nil"/>
              <w:bottom w:val="nil"/>
              <w:right w:val="nil"/>
            </w:tcBorders>
            <w:shd w:val="clear" w:color="auto" w:fill="auto"/>
            <w:noWrap/>
            <w:hideMark/>
          </w:tcPr>
          <w:p w:rsidR="000B3880" w:rsidRPr="00502467" w:rsidP="00CD4ED8" w14:paraId="2E85FA48" w14:textId="77777777">
            <w:pPr>
              <w:spacing w:after="0" w:line="240" w:lineRule="auto"/>
              <w:rPr>
                <w:rFonts w:ascii="Arial Narrow" w:eastAsia="Arial Narrow" w:hAnsi="Arial Narrow" w:cs="Arial Narrow"/>
                <w:sz w:val="16"/>
                <w:szCs w:val="16"/>
              </w:rPr>
            </w:pPr>
          </w:p>
        </w:tc>
        <w:tc>
          <w:tcPr>
            <w:tcW w:w="1872" w:type="dxa"/>
            <w:gridSpan w:val="2"/>
            <w:tcBorders>
              <w:top w:val="nil"/>
              <w:left w:val="nil"/>
              <w:bottom w:val="nil"/>
              <w:right w:val="nil"/>
            </w:tcBorders>
            <w:shd w:val="clear" w:color="auto" w:fill="auto"/>
            <w:noWrap/>
            <w:hideMark/>
          </w:tcPr>
          <w:p w:rsidR="000B3880" w:rsidRPr="00502467" w:rsidP="00CD4ED8" w14:paraId="64DF67C2" w14:textId="77777777">
            <w:pPr>
              <w:spacing w:after="0" w:line="240" w:lineRule="auto"/>
              <w:rPr>
                <w:rFonts w:ascii="Arial Narrow" w:eastAsia="Arial Narrow" w:hAnsi="Arial Narrow" w:cs="Arial Narrow"/>
                <w:color w:val="000000"/>
                <w:sz w:val="16"/>
                <w:szCs w:val="16"/>
              </w:rPr>
            </w:pPr>
            <w:r w:rsidRPr="00502467">
              <w:rPr>
                <w:rFonts w:ascii="Arial Narrow" w:eastAsia="Arial Narrow" w:hAnsi="Arial Narrow" w:cs="Arial Narrow"/>
                <w:color w:val="000000"/>
                <w:sz w:val="16"/>
                <w:szCs w:val="16"/>
              </w:rPr>
              <w:t>Sertifikāta Nr. 178</w:t>
            </w:r>
          </w:p>
        </w:tc>
        <w:tc>
          <w:tcPr>
            <w:tcW w:w="789" w:type="dxa"/>
            <w:tcBorders>
              <w:top w:val="nil"/>
              <w:left w:val="nil"/>
              <w:bottom w:val="nil"/>
              <w:right w:val="nil"/>
            </w:tcBorders>
            <w:shd w:val="clear" w:color="auto" w:fill="auto"/>
            <w:noWrap/>
            <w:hideMark/>
          </w:tcPr>
          <w:p w:rsidR="000B3880" w:rsidRPr="00502467" w:rsidP="00CD4ED8" w14:paraId="699C61E1" w14:textId="77777777">
            <w:pPr>
              <w:spacing w:after="0" w:line="240" w:lineRule="auto"/>
              <w:rPr>
                <w:rFonts w:ascii="Arial Narrow" w:eastAsia="Arial Narrow" w:hAnsi="Arial Narrow" w:cs="Arial Narrow"/>
                <w:color w:val="000000"/>
                <w:sz w:val="16"/>
                <w:szCs w:val="16"/>
              </w:rPr>
            </w:pPr>
          </w:p>
        </w:tc>
        <w:tc>
          <w:tcPr>
            <w:tcW w:w="826" w:type="dxa"/>
            <w:tcBorders>
              <w:top w:val="nil"/>
              <w:left w:val="nil"/>
              <w:bottom w:val="nil"/>
              <w:right w:val="nil"/>
            </w:tcBorders>
            <w:shd w:val="clear" w:color="auto" w:fill="auto"/>
            <w:noWrap/>
            <w:hideMark/>
          </w:tcPr>
          <w:p w:rsidR="000B3880" w:rsidRPr="00502467" w:rsidP="00CD4ED8" w14:paraId="2F63DDDD" w14:textId="77777777">
            <w:pPr>
              <w:spacing w:after="0" w:line="240" w:lineRule="auto"/>
              <w:rPr>
                <w:rFonts w:ascii="Arial Narrow" w:eastAsia="Arial Narrow" w:hAnsi="Arial Narrow" w:cs="Arial Narrow"/>
                <w:sz w:val="16"/>
                <w:szCs w:val="16"/>
              </w:rPr>
            </w:pPr>
          </w:p>
        </w:tc>
        <w:tc>
          <w:tcPr>
            <w:tcW w:w="1499" w:type="dxa"/>
            <w:tcBorders>
              <w:top w:val="nil"/>
              <w:left w:val="nil"/>
              <w:bottom w:val="nil"/>
              <w:right w:val="nil"/>
            </w:tcBorders>
            <w:shd w:val="clear" w:color="auto" w:fill="auto"/>
            <w:noWrap/>
            <w:hideMark/>
          </w:tcPr>
          <w:p w:rsidR="000B3880" w:rsidRPr="00502467" w:rsidP="00CD4ED8" w14:paraId="25433B0F" w14:textId="77777777">
            <w:pPr>
              <w:spacing w:after="0" w:line="240" w:lineRule="auto"/>
              <w:rPr>
                <w:rFonts w:ascii="Arial Narrow" w:eastAsia="Arial Narrow" w:hAnsi="Arial Narrow" w:cs="Arial Narrow"/>
                <w:sz w:val="16"/>
                <w:szCs w:val="16"/>
              </w:rPr>
            </w:pPr>
          </w:p>
        </w:tc>
        <w:tc>
          <w:tcPr>
            <w:tcW w:w="802" w:type="dxa"/>
            <w:tcBorders>
              <w:top w:val="nil"/>
              <w:left w:val="nil"/>
              <w:bottom w:val="nil"/>
              <w:right w:val="nil"/>
            </w:tcBorders>
            <w:shd w:val="clear" w:color="auto" w:fill="auto"/>
            <w:noWrap/>
            <w:hideMark/>
          </w:tcPr>
          <w:p w:rsidR="000B3880" w:rsidRPr="00502467" w:rsidP="00CD4ED8" w14:paraId="1F3D64C6" w14:textId="77777777">
            <w:pPr>
              <w:spacing w:after="0" w:line="240" w:lineRule="auto"/>
              <w:rPr>
                <w:rFonts w:ascii="Arial Narrow" w:eastAsia="Arial Narrow" w:hAnsi="Arial Narrow" w:cs="Arial Narrow"/>
                <w:sz w:val="16"/>
                <w:szCs w:val="16"/>
              </w:rPr>
            </w:pPr>
          </w:p>
        </w:tc>
        <w:tc>
          <w:tcPr>
            <w:tcW w:w="861" w:type="dxa"/>
            <w:tcBorders>
              <w:top w:val="nil"/>
              <w:left w:val="nil"/>
              <w:bottom w:val="nil"/>
              <w:right w:val="nil"/>
            </w:tcBorders>
            <w:shd w:val="clear" w:color="auto" w:fill="auto"/>
            <w:noWrap/>
            <w:hideMark/>
          </w:tcPr>
          <w:p w:rsidR="000B3880" w:rsidRPr="00502467" w:rsidP="00CD4ED8" w14:paraId="114FCDDC" w14:textId="77777777">
            <w:pPr>
              <w:spacing w:after="0" w:line="240" w:lineRule="auto"/>
              <w:rPr>
                <w:rFonts w:ascii="Arial Narrow" w:eastAsia="Arial Narrow" w:hAnsi="Arial Narrow" w:cs="Arial Narrow"/>
                <w:sz w:val="16"/>
                <w:szCs w:val="16"/>
              </w:rPr>
            </w:pPr>
          </w:p>
        </w:tc>
      </w:tr>
    </w:tbl>
    <w:p w:rsidR="000B3880" w:rsidRPr="00502467" w:rsidP="000D0C46" w14:paraId="572F493A" w14:textId="77777777">
      <w:pPr>
        <w:spacing w:after="0" w:line="240" w:lineRule="auto"/>
        <w:contextualSpacing/>
        <w:rPr>
          <w:rFonts w:ascii="Arial Narrow" w:eastAsia="Arial Narrow" w:hAnsi="Arial Narrow" w:cs="Arial Narrow"/>
          <w:b/>
          <w:bCs/>
          <w:color w:val="002E6D"/>
          <w:sz w:val="16"/>
          <w:szCs w:val="16"/>
        </w:rPr>
      </w:pPr>
      <w:r>
        <w:t xml:space="preserve"> </w:t>
      </w:r>
    </w:p>
    <w:p w:rsidR="002A24B4" w:rsidP="002A24B4" w14:paraId="12E5DB6C" w14:textId="62E04353">
      <w:pPr>
        <w:pageBreakBefore/>
        <w:spacing w:after="0"/>
        <w:jc w:val="center"/>
        <w:rPr>
          <w:rFonts w:ascii="Arial Narrow" w:eastAsia="Arial Narrow" w:hAnsi="Arial Narrow" w:cs="Arial Narrow"/>
          <w:b/>
          <w:bCs/>
          <w:noProof/>
          <w:sz w:val="18"/>
          <w:szCs w:val="18"/>
        </w:rPr>
      </w:pPr>
      <w:bookmarkStart w:id="24" w:name="RG_MARKER_6590"/>
      <w:bookmarkStart w:id="25" w:name="RG_MARKER_6422"/>
      <w:r w:rsidRPr="002F66D3">
        <w:rPr>
          <w:rFonts w:ascii="Arial Narrow" w:eastAsia="Arial Narrow" w:hAnsi="Arial Narrow" w:cs="Arial Narrow"/>
          <w:b/>
          <w:bCs/>
          <w:noProof/>
          <w:sz w:val="18"/>
          <w:szCs w:val="18"/>
        </w:rPr>
        <w:t>Vadības ziņojums</w:t>
      </w:r>
      <w:bookmarkEnd w:id="25"/>
      <w:bookmarkEnd w:id="24"/>
    </w:p>
    <w:p w:rsidR="00D2441B" w:rsidRPr="002F66D3" w:rsidP="002A24B4" w14:paraId="5083C1A9" w14:textId="77777777">
      <w:pPr>
        <w:spacing w:after="0"/>
        <w:jc w:val="center"/>
        <w:rPr>
          <w:rFonts w:ascii="Arial Narrow" w:eastAsia="Arial Narrow" w:hAnsi="Arial Narrow" w:cs="Arial Narrow"/>
          <w:b/>
          <w:bCs/>
          <w:noProof/>
          <w:sz w:val="18"/>
          <w:szCs w:val="18"/>
        </w:rPr>
      </w:pPr>
    </w:p>
    <w:p w:rsidR="002A24B4" w:rsidRPr="002F66D3" w:rsidP="00D574B6" w14:paraId="171F7157"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p>
    <w:p w:rsidR="002A24B4" w:rsidRPr="002F66D3" w:rsidP="00D574B6" w14:paraId="2C4BC570" w14:textId="6D7F709F">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202</w:t>
      </w:r>
      <w:r w:rsidRPr="002F66D3" w:rsidR="00FC4EC1">
        <w:rPr>
          <w:rFonts w:ascii="Arial Narrow" w:eastAsia="Arial Narrow" w:hAnsi="Arial Narrow" w:cs="Arial Narrow"/>
          <w:noProof/>
          <w:sz w:val="18"/>
          <w:szCs w:val="18"/>
        </w:rPr>
        <w:t>2</w:t>
      </w:r>
      <w:r w:rsidRPr="002F66D3">
        <w:rPr>
          <w:rFonts w:ascii="Arial Narrow" w:eastAsia="Arial Narrow" w:hAnsi="Arial Narrow" w:cs="Arial Narrow"/>
          <w:noProof/>
          <w:sz w:val="18"/>
          <w:szCs w:val="18"/>
        </w:rPr>
        <w:t xml:space="preserve">. gada </w:t>
      </w:r>
      <w:r>
        <w:rPr>
          <w:rFonts w:ascii="Arial Narrow" w:eastAsia="Arial Narrow" w:hAnsi="Arial Narrow" w:cs="Arial Narrow"/>
          <w:noProof/>
          <w:sz w:val="18"/>
          <w:szCs w:val="18"/>
        </w:rPr>
        <w:t>30</w:t>
      </w:r>
      <w:r w:rsidRPr="002F66D3">
        <w:rPr>
          <w:rFonts w:ascii="Arial Narrow" w:eastAsia="Arial Narrow" w:hAnsi="Arial Narrow" w:cs="Arial Narrow"/>
          <w:noProof/>
          <w:sz w:val="18"/>
          <w:szCs w:val="18"/>
        </w:rPr>
        <w:t>. aprīlī</w:t>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p>
    <w:p w:rsidR="002A24B4" w:rsidRPr="002F66D3" w:rsidP="00D574B6" w14:paraId="71E22151"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p>
    <w:p w:rsidR="002A24B4" w:rsidRPr="002F66D3" w:rsidP="00D574B6" w14:paraId="0B251325" w14:textId="7F499E7C">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Koncerna vadība publicē ziņojumu par konsolidētajiem finanšu pārskatiem par gadu, kas noslēdzās 202</w:t>
      </w:r>
      <w:r w:rsidRPr="002F66D3" w:rsidR="00FC4EC1">
        <w:rPr>
          <w:rFonts w:ascii="Arial Narrow" w:eastAsia="Arial Narrow" w:hAnsi="Arial Narrow" w:cs="Arial Narrow"/>
          <w:noProof/>
          <w:sz w:val="18"/>
          <w:szCs w:val="18"/>
        </w:rPr>
        <w:t>1</w:t>
      </w:r>
      <w:r w:rsidRPr="002F66D3">
        <w:rPr>
          <w:rFonts w:ascii="Arial Narrow" w:eastAsia="Arial Narrow" w:hAnsi="Arial Narrow" w:cs="Arial Narrow"/>
          <w:noProof/>
          <w:sz w:val="18"/>
          <w:szCs w:val="18"/>
        </w:rPr>
        <w:t>.gada 31.decembrī. Visas summas ir uzrādītas eiro (EUR).</w:t>
      </w:r>
      <w:r w:rsidRPr="002F66D3">
        <w:rPr>
          <w:rFonts w:ascii="Arial Narrow" w:eastAsia="Arial Narrow" w:hAnsi="Arial Narrow" w:cs="Arial Narrow"/>
          <w:noProof/>
          <w:sz w:val="18"/>
          <w:szCs w:val="18"/>
        </w:rPr>
        <w:tab/>
      </w:r>
    </w:p>
    <w:p w:rsidR="002A24B4" w:rsidRPr="002F66D3" w:rsidP="00D574B6" w14:paraId="285C2984"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p>
    <w:p w:rsidR="002A24B4" w:rsidRPr="002F66D3" w:rsidP="00D574B6" w14:paraId="72B173D5" w14:textId="77777777">
      <w:pPr>
        <w:spacing w:after="0"/>
        <w:jc w:val="both"/>
        <w:rPr>
          <w:rFonts w:ascii="Arial Narrow" w:eastAsia="Arial Narrow" w:hAnsi="Arial Narrow" w:cs="Arial Narrow"/>
          <w:b/>
          <w:bCs/>
          <w:noProof/>
          <w:sz w:val="18"/>
          <w:szCs w:val="18"/>
        </w:rPr>
      </w:pPr>
      <w:r w:rsidRPr="002F66D3">
        <w:rPr>
          <w:rFonts w:ascii="Arial Narrow" w:eastAsia="Arial Narrow" w:hAnsi="Arial Narrow" w:cs="Arial Narrow"/>
          <w:b/>
          <w:bCs/>
          <w:noProof/>
          <w:sz w:val="18"/>
          <w:szCs w:val="18"/>
        </w:rPr>
        <w:t>Vispārīga informācija</w:t>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p>
    <w:p w:rsidR="004E010F" w:rsidRPr="002F66D3" w:rsidP="00D574B6" w14:paraId="5875CFD7" w14:textId="401C34E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p>
    <w:p w:rsidR="004E010F" w:rsidRPr="002F66D3" w:rsidP="00D574B6" w14:paraId="3AB36158" w14:textId="2E163FA6">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AS “Mogo” (turpmāk tekstā – Mātes sabiedrība) un tās meitas sabiedrība AS “Renti” (turpmāk tekstā kopā - Koncerns) ir vadošais uzņēmums Latvijā lietotu automašīnu finansēšanas/ilgtermiņa nomas tirgū pēc finansēto/no</w:t>
      </w:r>
      <w:r w:rsidRPr="002F66D3">
        <w:rPr>
          <w:rFonts w:ascii="Arial Narrow" w:eastAsia="Arial Narrow" w:hAnsi="Arial Narrow" w:cs="Arial Narrow"/>
          <w:noProof/>
          <w:sz w:val="18"/>
          <w:szCs w:val="18"/>
        </w:rPr>
        <w:t>māto objektu skaita. Koncerns piedāvā ātrus un ērtus automašīnu finansēšanas pakalpojumus, izmantojot vairāk nekā 2</w:t>
      </w:r>
      <w:r w:rsidRPr="002F66D3" w:rsidR="00594D42">
        <w:rPr>
          <w:rFonts w:ascii="Arial Narrow" w:eastAsia="Arial Narrow" w:hAnsi="Arial Narrow" w:cs="Arial Narrow"/>
          <w:noProof/>
          <w:sz w:val="18"/>
          <w:szCs w:val="18"/>
        </w:rPr>
        <w:t>2</w:t>
      </w:r>
      <w:r w:rsidRPr="002F66D3">
        <w:rPr>
          <w:rFonts w:ascii="Arial Narrow" w:eastAsia="Arial Narrow" w:hAnsi="Arial Narrow" w:cs="Arial Narrow"/>
          <w:noProof/>
          <w:sz w:val="18"/>
          <w:szCs w:val="18"/>
        </w:rPr>
        <w:t>0 sadarbības partneru (profesionālu automašīnu tirgotāju) tīklu, Koncerna mājaslapu, mobilo lietotni un klientu apkalpošanas centru, kas str</w:t>
      </w:r>
      <w:r w:rsidRPr="002F66D3">
        <w:rPr>
          <w:rFonts w:ascii="Arial Narrow" w:eastAsia="Arial Narrow" w:hAnsi="Arial Narrow" w:cs="Arial Narrow"/>
          <w:noProof/>
          <w:sz w:val="18"/>
          <w:szCs w:val="18"/>
        </w:rPr>
        <w:t>atēģiski izvietots Ceļu satiksmes drošības direkcijas (CSDD) ēkā.</w:t>
      </w:r>
    </w:p>
    <w:p w:rsidR="004E010F" w:rsidRPr="002F66D3" w:rsidP="00D574B6" w14:paraId="0EAA3893" w14:textId="77777777">
      <w:pPr>
        <w:spacing w:after="0"/>
        <w:jc w:val="both"/>
        <w:rPr>
          <w:rFonts w:ascii="Arial Narrow" w:eastAsia="Arial Narrow" w:hAnsi="Arial Narrow" w:cs="Arial Narrow"/>
          <w:noProof/>
          <w:sz w:val="18"/>
          <w:szCs w:val="18"/>
        </w:rPr>
      </w:pPr>
    </w:p>
    <w:p w:rsidR="004E010F" w:rsidRPr="002F66D3" w:rsidP="00D574B6" w14:paraId="33491D72"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Gada laikā Mātes sabiedrība darbojās galvenokārt kā pakalpojumu un attīstības centrs meitas sabiedrībai AS “Renti” un radniecīgajai sabiedrībai AS “Primero Finance”. Šīm sabiedrībām tiek sn</w:t>
      </w:r>
      <w:r w:rsidRPr="002F66D3">
        <w:rPr>
          <w:rFonts w:ascii="Arial Narrow" w:eastAsia="Arial Narrow" w:hAnsi="Arial Narrow" w:cs="Arial Narrow"/>
          <w:noProof/>
          <w:sz w:val="18"/>
          <w:szCs w:val="18"/>
        </w:rPr>
        <w:t>iegti pilna apjoma pakalpojumi no pārdošanas un klientu apkalpošanas līdz parādu piedziņas darbībām.</w:t>
      </w:r>
    </w:p>
    <w:p w:rsidR="004E010F" w:rsidRPr="002F66D3" w:rsidP="00D574B6" w14:paraId="16FB612E" w14:textId="77777777">
      <w:pPr>
        <w:spacing w:after="0"/>
        <w:jc w:val="both"/>
        <w:rPr>
          <w:rFonts w:ascii="Arial Narrow" w:eastAsia="Arial Narrow" w:hAnsi="Arial Narrow" w:cs="Arial Narrow"/>
          <w:noProof/>
          <w:sz w:val="18"/>
          <w:szCs w:val="18"/>
        </w:rPr>
      </w:pPr>
    </w:p>
    <w:p w:rsidR="004E010F" w:rsidRPr="002F66D3" w:rsidP="00D574B6" w14:paraId="44CBCF1E"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AS Renti turpināja iepirkt lietotas automašīnas no partneriem Rīgā un reģionos, lai vēlāk tās iznomātu klientiem. Tie paši partneri, no kuriem AS Renti ie</w:t>
      </w:r>
      <w:r w:rsidRPr="002F66D3">
        <w:rPr>
          <w:rFonts w:ascii="Arial Narrow" w:eastAsia="Arial Narrow" w:hAnsi="Arial Narrow" w:cs="Arial Narrow"/>
          <w:noProof/>
          <w:sz w:val="18"/>
          <w:szCs w:val="18"/>
        </w:rPr>
        <w:t>gādājās automašīnas, saviem klientiem piedāvā AS Renti sniegtos nomas pakalpojumus kā ērtu alternatīvu finansēšanas risinājumiem. AS Renti mērķtirgus segmenta izmaiņu rezultātā kopš 2021.gada decembra AS Renti klientiem tirgo tikai tās automašīnas, kuras k</w:t>
      </w:r>
      <w:r w:rsidRPr="002F66D3">
        <w:rPr>
          <w:rFonts w:ascii="Arial Narrow" w:eastAsia="Arial Narrow" w:hAnsi="Arial Narrow" w:cs="Arial Narrow"/>
          <w:noProof/>
          <w:sz w:val="18"/>
          <w:szCs w:val="18"/>
        </w:rPr>
        <w:t>lienti jau iegādājušies vai atgriezuši no nomas, tādējādi nepalielinot kopējo klientiem pieejamo auto krājumu. Esošais operatīvais autoparks pieejams gan ilgtermiņa nomai, gan iegādei.</w:t>
      </w:r>
    </w:p>
    <w:p w:rsidR="004E010F" w:rsidRPr="002F66D3" w:rsidP="00D574B6" w14:paraId="59D58E95" w14:textId="77777777">
      <w:pPr>
        <w:spacing w:after="0"/>
        <w:jc w:val="both"/>
        <w:rPr>
          <w:rFonts w:ascii="Arial Narrow" w:eastAsia="Arial Narrow" w:hAnsi="Arial Narrow" w:cs="Arial Narrow"/>
          <w:noProof/>
          <w:sz w:val="18"/>
          <w:szCs w:val="18"/>
        </w:rPr>
      </w:pPr>
    </w:p>
    <w:p w:rsidR="004E010F" w:rsidRPr="002F66D3" w:rsidP="00D574B6" w14:paraId="70CBDE6A" w14:textId="3322541E">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 xml:space="preserve">2021.gada decembrī AS Renti ir uzsākusi jaunu auto </w:t>
      </w:r>
      <w:r w:rsidRPr="002F66D3">
        <w:rPr>
          <w:rFonts w:ascii="Arial Narrow" w:eastAsia="Arial Narrow" w:hAnsi="Arial Narrow" w:cs="Arial Narrow"/>
          <w:noProof/>
          <w:sz w:val="18"/>
          <w:szCs w:val="18"/>
        </w:rPr>
        <w:t>abonēšanas pakalpojumu “Renti</w:t>
      </w:r>
      <w:r w:rsidRPr="002F66D3" w:rsidR="0065304A">
        <w:rPr>
          <w:rFonts w:ascii="Arial Narrow" w:eastAsia="Arial Narrow" w:hAnsi="Arial Narrow" w:cs="Arial Narrow"/>
          <w:noProof/>
          <w:sz w:val="18"/>
          <w:szCs w:val="18"/>
        </w:rPr>
        <w:t xml:space="preserve"> Plus</w:t>
      </w:r>
      <w:r w:rsidRPr="002F66D3">
        <w:rPr>
          <w:rFonts w:ascii="Arial Narrow" w:eastAsia="Arial Narrow" w:hAnsi="Arial Narrow" w:cs="Arial Narrow"/>
          <w:noProof/>
          <w:sz w:val="18"/>
          <w:szCs w:val="18"/>
        </w:rPr>
        <w:t>”. Piedāvājums tiek veidots, sekojot izmaiņām Latvijas tirgus pieprasījuma jomā, kā arī klientu paradumu maiņai un tendenču attīstībai Eiropā un pasaulē. Renti+ piedāvā jaunu auto abonēšanas pakalpojumu privātpersonām un j</w:t>
      </w:r>
      <w:r w:rsidRPr="002F66D3">
        <w:rPr>
          <w:rFonts w:ascii="Arial Narrow" w:eastAsia="Arial Narrow" w:hAnsi="Arial Narrow" w:cs="Arial Narrow"/>
          <w:noProof/>
          <w:sz w:val="18"/>
          <w:szCs w:val="18"/>
        </w:rPr>
        <w:t>uridiskām personām ar iespēju visus ar auto saistītos pakalpojumus iekļaut ikmēneša abonēšanas maksā (apdrošināšana, apkopes darbi, riepu maiņa uc) uz jebkuru periodu no 1 līdz 36 mēnešiem. AS Renti iegādājas pilnīgi jaunas automašīnas un nekavējoties nodo</w:t>
      </w:r>
      <w:r w:rsidRPr="002F66D3">
        <w:rPr>
          <w:rFonts w:ascii="Arial Narrow" w:eastAsia="Arial Narrow" w:hAnsi="Arial Narrow" w:cs="Arial Narrow"/>
          <w:noProof/>
          <w:sz w:val="18"/>
          <w:szCs w:val="18"/>
        </w:rPr>
        <w:t>d tās klientu nomai. Piedāvājums klientiem tiek sniegts 3 abonēšanas pakalpojumu līmeņu veidā, kas ir elastīgi un atspoguļo dažād</w:t>
      </w:r>
      <w:r w:rsidRPr="002F66D3" w:rsidR="00594D42">
        <w:rPr>
          <w:rFonts w:ascii="Arial Narrow" w:eastAsia="Arial Narrow" w:hAnsi="Arial Narrow" w:cs="Arial Narrow"/>
          <w:noProof/>
          <w:sz w:val="18"/>
          <w:szCs w:val="18"/>
        </w:rPr>
        <w:t>ā</w:t>
      </w:r>
      <w:r w:rsidRPr="002F66D3">
        <w:rPr>
          <w:rFonts w:ascii="Arial Narrow" w:eastAsia="Arial Narrow" w:hAnsi="Arial Narrow" w:cs="Arial Narrow"/>
          <w:noProof/>
          <w:sz w:val="18"/>
          <w:szCs w:val="18"/>
        </w:rPr>
        <w:t xml:space="preserve">s klientu vajadzības. Abonementu veidi un pieejamās automašīnas ir redzamas </w:t>
      </w:r>
      <w:hyperlink w:history="1">
        <w:r w:rsidRPr="002F66D3" w:rsidR="004E05C9">
          <w:rPr>
            <w:rStyle w:val="Hyperlink"/>
            <w:rFonts w:ascii="Arial Narrow" w:eastAsia="Arial Narrow" w:hAnsi="Arial Narrow" w:cs="Arial Narrow"/>
            <w:noProof/>
            <w:sz w:val="18"/>
            <w:szCs w:val="18"/>
          </w:rPr>
          <w:t>www.rentiplus.lv</w:t>
        </w:r>
      </w:hyperlink>
      <w:r w:rsidRPr="002F66D3">
        <w:rPr>
          <w:rFonts w:ascii="Arial Narrow" w:eastAsia="Arial Narrow" w:hAnsi="Arial Narrow" w:cs="Arial Narrow"/>
          <w:noProof/>
          <w:sz w:val="18"/>
          <w:szCs w:val="18"/>
        </w:rPr>
        <w:t>.</w:t>
      </w:r>
      <w:r w:rsidRPr="002F66D3" w:rsidR="004E05C9">
        <w:rPr>
          <w:rFonts w:ascii="Arial Narrow" w:eastAsia="Arial Narrow" w:hAnsi="Arial Narrow" w:cs="Arial Narrow"/>
          <w:noProof/>
          <w:sz w:val="18"/>
          <w:szCs w:val="18"/>
        </w:rPr>
        <w:t xml:space="preserve"> </w:t>
      </w:r>
      <w:r w:rsidRPr="002F66D3">
        <w:rPr>
          <w:rFonts w:ascii="Arial Narrow" w:eastAsia="Arial Narrow" w:hAnsi="Arial Narrow" w:cs="Arial Narrow"/>
          <w:noProof/>
          <w:sz w:val="18"/>
          <w:szCs w:val="18"/>
        </w:rPr>
        <w:t>Plānots, ka jaunais abonēšanas produkts kļūs par AS Renti galveno piedāvājumu, ko piedāvās saviem klientiem, vienlaikus samazinot lietotu automašīnu ilgtermiņa nomas pārdošanas apjomu.</w:t>
      </w:r>
    </w:p>
    <w:p w:rsidR="004E010F" w:rsidRPr="002F66D3" w:rsidP="00D574B6" w14:paraId="5820851D" w14:textId="77777777">
      <w:pPr>
        <w:spacing w:after="0"/>
        <w:jc w:val="both"/>
        <w:rPr>
          <w:rFonts w:ascii="Arial Narrow" w:eastAsia="Arial Narrow" w:hAnsi="Arial Narrow" w:cs="Arial Narrow"/>
          <w:noProof/>
          <w:sz w:val="18"/>
          <w:szCs w:val="18"/>
        </w:rPr>
      </w:pPr>
    </w:p>
    <w:p w:rsidR="004E010F" w:rsidRPr="002F66D3" w:rsidP="00D574B6" w14:paraId="729F8612"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Koncerna uzņēmumi turpina attīstīt mājas lapas www.mogo.lv (Mo</w:t>
      </w:r>
      <w:r w:rsidRPr="002F66D3">
        <w:rPr>
          <w:rFonts w:ascii="Arial Narrow" w:eastAsia="Arial Narrow" w:hAnsi="Arial Narrow" w:cs="Arial Narrow"/>
          <w:noProof/>
          <w:sz w:val="18"/>
          <w:szCs w:val="18"/>
        </w:rPr>
        <w:t>go finansēšanas produkti), www.renti.lv (Renti ilgtermiņa nomas un auto pārdošanas piedāvājums) un www.autotev.lv (auto portāls Koncerna partneru oficiālajiem auto tirgotājiem) lai atbalstītu klientu pieredzes uzlabojumus.</w:t>
      </w:r>
    </w:p>
    <w:p w:rsidR="004E010F" w:rsidRPr="002F66D3" w:rsidP="00D574B6" w14:paraId="6CE746E4" w14:textId="77777777">
      <w:pPr>
        <w:spacing w:after="0"/>
        <w:jc w:val="both"/>
        <w:rPr>
          <w:rFonts w:ascii="Arial Narrow" w:eastAsia="Arial Narrow" w:hAnsi="Arial Narrow" w:cs="Arial Narrow"/>
          <w:noProof/>
          <w:sz w:val="18"/>
          <w:szCs w:val="18"/>
        </w:rPr>
      </w:pPr>
    </w:p>
    <w:p w:rsidR="002A24B4" w:rsidRPr="002F66D3" w:rsidP="00D574B6" w14:paraId="504489E7" w14:textId="342D121A">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Koncerns ievēro likumā noteiktās</w:t>
      </w:r>
      <w:r w:rsidRPr="002F66D3">
        <w:rPr>
          <w:rFonts w:ascii="Arial Narrow" w:eastAsia="Arial Narrow" w:hAnsi="Arial Narrow" w:cs="Arial Narrow"/>
          <w:noProof/>
          <w:sz w:val="18"/>
          <w:szCs w:val="18"/>
        </w:rPr>
        <w:t xml:space="preserve"> prasības vides aizsardzības jomā.</w:t>
      </w:r>
      <w:r w:rsidRPr="002F66D3" w:rsidR="006678C3">
        <w:rPr>
          <w:rFonts w:ascii="Arial Narrow" w:eastAsia="Arial Narrow" w:hAnsi="Arial Narrow" w:cs="Arial Narrow"/>
          <w:noProof/>
          <w:sz w:val="18"/>
          <w:szCs w:val="18"/>
        </w:rPr>
        <w:tab/>
      </w:r>
      <w:r w:rsidRPr="002F66D3" w:rsidR="006678C3">
        <w:rPr>
          <w:rFonts w:ascii="Arial Narrow" w:eastAsia="Arial Narrow" w:hAnsi="Arial Narrow" w:cs="Arial Narrow"/>
          <w:noProof/>
          <w:sz w:val="18"/>
          <w:szCs w:val="18"/>
        </w:rPr>
        <w:tab/>
      </w:r>
      <w:r w:rsidRPr="002F66D3" w:rsidR="006678C3">
        <w:rPr>
          <w:rFonts w:ascii="Arial Narrow" w:eastAsia="Arial Narrow" w:hAnsi="Arial Narrow" w:cs="Arial Narrow"/>
          <w:noProof/>
          <w:sz w:val="18"/>
          <w:szCs w:val="18"/>
        </w:rPr>
        <w:tab/>
      </w:r>
      <w:r w:rsidRPr="002F66D3" w:rsidR="006678C3">
        <w:rPr>
          <w:rFonts w:ascii="Arial Narrow" w:eastAsia="Arial Narrow" w:hAnsi="Arial Narrow" w:cs="Arial Narrow"/>
          <w:noProof/>
          <w:sz w:val="18"/>
          <w:szCs w:val="18"/>
        </w:rPr>
        <w:tab/>
      </w:r>
      <w:r w:rsidRPr="002F66D3" w:rsidR="006678C3">
        <w:rPr>
          <w:rFonts w:ascii="Arial Narrow" w:eastAsia="Arial Narrow" w:hAnsi="Arial Narrow" w:cs="Arial Narrow"/>
          <w:noProof/>
          <w:sz w:val="18"/>
          <w:szCs w:val="18"/>
        </w:rPr>
        <w:tab/>
      </w:r>
      <w:r w:rsidRPr="002F66D3" w:rsidR="006678C3">
        <w:rPr>
          <w:rFonts w:ascii="Arial Narrow" w:eastAsia="Arial Narrow" w:hAnsi="Arial Narrow" w:cs="Arial Narrow"/>
          <w:noProof/>
          <w:sz w:val="18"/>
          <w:szCs w:val="18"/>
        </w:rPr>
        <w:tab/>
      </w:r>
      <w:r w:rsidRPr="002F66D3" w:rsidR="006678C3">
        <w:rPr>
          <w:rFonts w:ascii="Arial Narrow" w:eastAsia="Arial Narrow" w:hAnsi="Arial Narrow" w:cs="Arial Narrow"/>
          <w:noProof/>
          <w:sz w:val="18"/>
          <w:szCs w:val="18"/>
        </w:rPr>
        <w:tab/>
      </w:r>
      <w:r w:rsidRPr="002F66D3" w:rsidR="006678C3">
        <w:rPr>
          <w:rFonts w:ascii="Arial Narrow" w:eastAsia="Arial Narrow" w:hAnsi="Arial Narrow" w:cs="Arial Narrow"/>
          <w:noProof/>
          <w:sz w:val="18"/>
          <w:szCs w:val="18"/>
        </w:rPr>
        <w:tab/>
      </w:r>
    </w:p>
    <w:p w:rsidR="002A24B4" w:rsidRPr="002F66D3" w:rsidP="00D574B6" w14:paraId="706B381C"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p>
    <w:p w:rsidR="002A24B4" w:rsidRPr="002F66D3" w:rsidP="00D574B6" w14:paraId="5C54782A" w14:textId="77777777">
      <w:pPr>
        <w:spacing w:after="0"/>
        <w:jc w:val="both"/>
        <w:rPr>
          <w:rFonts w:ascii="Arial Narrow" w:eastAsia="Arial Narrow" w:hAnsi="Arial Narrow" w:cs="Arial Narrow"/>
          <w:b/>
          <w:bCs/>
          <w:noProof/>
          <w:sz w:val="18"/>
          <w:szCs w:val="18"/>
        </w:rPr>
      </w:pPr>
      <w:r w:rsidRPr="002F66D3">
        <w:rPr>
          <w:rFonts w:ascii="Arial Narrow" w:eastAsia="Arial Narrow" w:hAnsi="Arial Narrow" w:cs="Arial Narrow"/>
          <w:b/>
          <w:bCs/>
          <w:noProof/>
          <w:sz w:val="18"/>
          <w:szCs w:val="18"/>
        </w:rPr>
        <w:t>Misija, vīzija un vērtības</w:t>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p>
    <w:p w:rsidR="002A24B4" w:rsidRPr="002F66D3" w:rsidP="00D574B6" w14:paraId="2F92D5F9"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p>
    <w:p w:rsidR="002A24B4" w:rsidRPr="002F66D3" w:rsidP="00D574B6" w14:paraId="2F278ED2" w14:textId="77777777">
      <w:pPr>
        <w:spacing w:after="0"/>
        <w:jc w:val="both"/>
        <w:rPr>
          <w:rFonts w:ascii="Arial Narrow" w:eastAsia="Arial Narrow" w:hAnsi="Arial Narrow" w:cs="Arial Narrow"/>
          <w:i/>
          <w:iCs/>
          <w:noProof/>
          <w:sz w:val="18"/>
          <w:szCs w:val="18"/>
        </w:rPr>
      </w:pPr>
      <w:r w:rsidRPr="002F66D3">
        <w:rPr>
          <w:rFonts w:ascii="Arial Narrow" w:eastAsia="Arial Narrow" w:hAnsi="Arial Narrow" w:cs="Arial Narrow"/>
          <w:i/>
          <w:iCs/>
          <w:noProof/>
          <w:sz w:val="18"/>
          <w:szCs w:val="18"/>
        </w:rPr>
        <w:t>Misija</w:t>
      </w:r>
      <w:r w:rsidRPr="002F66D3">
        <w:rPr>
          <w:rFonts w:ascii="Arial Narrow" w:eastAsia="Arial Narrow" w:hAnsi="Arial Narrow" w:cs="Arial Narrow"/>
          <w:i/>
          <w:iCs/>
          <w:noProof/>
          <w:sz w:val="18"/>
          <w:szCs w:val="18"/>
        </w:rPr>
        <w:tab/>
      </w:r>
      <w:r w:rsidRPr="002F66D3">
        <w:rPr>
          <w:rFonts w:ascii="Arial Narrow" w:eastAsia="Arial Narrow" w:hAnsi="Arial Narrow" w:cs="Arial Narrow"/>
          <w:i/>
          <w:iCs/>
          <w:noProof/>
          <w:sz w:val="18"/>
          <w:szCs w:val="18"/>
        </w:rPr>
        <w:tab/>
      </w:r>
      <w:r w:rsidRPr="002F66D3">
        <w:rPr>
          <w:rFonts w:ascii="Arial Narrow" w:eastAsia="Arial Narrow" w:hAnsi="Arial Narrow" w:cs="Arial Narrow"/>
          <w:i/>
          <w:iCs/>
          <w:noProof/>
          <w:sz w:val="18"/>
          <w:szCs w:val="18"/>
        </w:rPr>
        <w:tab/>
      </w:r>
      <w:r w:rsidRPr="002F66D3">
        <w:rPr>
          <w:rFonts w:ascii="Arial Narrow" w:eastAsia="Arial Narrow" w:hAnsi="Arial Narrow" w:cs="Arial Narrow"/>
          <w:i/>
          <w:iCs/>
          <w:noProof/>
          <w:sz w:val="18"/>
          <w:szCs w:val="18"/>
        </w:rPr>
        <w:tab/>
      </w:r>
      <w:r w:rsidRPr="002F66D3">
        <w:rPr>
          <w:rFonts w:ascii="Arial Narrow" w:eastAsia="Arial Narrow" w:hAnsi="Arial Narrow" w:cs="Arial Narrow"/>
          <w:i/>
          <w:iCs/>
          <w:noProof/>
          <w:sz w:val="18"/>
          <w:szCs w:val="18"/>
        </w:rPr>
        <w:tab/>
      </w:r>
      <w:r w:rsidRPr="002F66D3">
        <w:rPr>
          <w:rFonts w:ascii="Arial Narrow" w:eastAsia="Arial Narrow" w:hAnsi="Arial Narrow" w:cs="Arial Narrow"/>
          <w:i/>
          <w:iCs/>
          <w:noProof/>
          <w:sz w:val="18"/>
          <w:szCs w:val="18"/>
        </w:rPr>
        <w:tab/>
      </w:r>
      <w:r w:rsidRPr="002F66D3">
        <w:rPr>
          <w:rFonts w:ascii="Arial Narrow" w:eastAsia="Arial Narrow" w:hAnsi="Arial Narrow" w:cs="Arial Narrow"/>
          <w:i/>
          <w:iCs/>
          <w:noProof/>
          <w:sz w:val="18"/>
          <w:szCs w:val="18"/>
        </w:rPr>
        <w:tab/>
      </w:r>
      <w:r w:rsidRPr="002F66D3">
        <w:rPr>
          <w:rFonts w:ascii="Arial Narrow" w:eastAsia="Arial Narrow" w:hAnsi="Arial Narrow" w:cs="Arial Narrow"/>
          <w:i/>
          <w:iCs/>
          <w:noProof/>
          <w:sz w:val="18"/>
          <w:szCs w:val="18"/>
        </w:rPr>
        <w:tab/>
      </w:r>
      <w:r w:rsidRPr="002F66D3">
        <w:rPr>
          <w:rFonts w:ascii="Arial Narrow" w:eastAsia="Arial Narrow" w:hAnsi="Arial Narrow" w:cs="Arial Narrow"/>
          <w:i/>
          <w:iCs/>
          <w:noProof/>
          <w:sz w:val="18"/>
          <w:szCs w:val="18"/>
        </w:rPr>
        <w:tab/>
      </w:r>
    </w:p>
    <w:p w:rsidR="002A24B4" w:rsidRPr="002F66D3" w:rsidP="00D574B6" w14:paraId="6FB02616" w14:textId="46D824F2">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Padarīt personīgo mobilitāti viegli pieejamu visiem Latvijas iedzīvotājiem, esot vienotiem mīlestībā pret automašīnām.</w:t>
      </w:r>
      <w:r w:rsidRPr="002F66D3" w:rsidR="00715BA7">
        <w:rPr>
          <w:rFonts w:ascii="Arial Narrow" w:eastAsia="Arial Narrow" w:hAnsi="Arial Narrow" w:cs="Arial Narrow"/>
          <w:noProof/>
          <w:sz w:val="18"/>
          <w:szCs w:val="18"/>
        </w:rPr>
        <w:tab/>
      </w:r>
      <w:r w:rsidRPr="002F66D3" w:rsidR="00715BA7">
        <w:rPr>
          <w:rFonts w:ascii="Arial Narrow" w:eastAsia="Arial Narrow" w:hAnsi="Arial Narrow" w:cs="Arial Narrow"/>
          <w:noProof/>
          <w:sz w:val="18"/>
          <w:szCs w:val="18"/>
        </w:rPr>
        <w:tab/>
      </w:r>
      <w:r w:rsidRPr="002F66D3" w:rsidR="00715BA7">
        <w:rPr>
          <w:rFonts w:ascii="Arial Narrow" w:eastAsia="Arial Narrow" w:hAnsi="Arial Narrow" w:cs="Arial Narrow"/>
          <w:noProof/>
          <w:sz w:val="18"/>
          <w:szCs w:val="18"/>
        </w:rPr>
        <w:tab/>
      </w:r>
      <w:r w:rsidRPr="002F66D3" w:rsidR="00715BA7">
        <w:rPr>
          <w:rFonts w:ascii="Arial Narrow" w:eastAsia="Arial Narrow" w:hAnsi="Arial Narrow" w:cs="Arial Narrow"/>
          <w:noProof/>
          <w:sz w:val="18"/>
          <w:szCs w:val="18"/>
        </w:rPr>
        <w:tab/>
      </w:r>
      <w:r w:rsidRPr="002F66D3" w:rsidR="00715BA7">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p>
    <w:p w:rsidR="002A24B4" w:rsidRPr="002F66D3" w:rsidP="00D574B6" w14:paraId="53B202F7"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p>
    <w:p w:rsidR="002A24B4" w:rsidRPr="002F66D3" w:rsidP="00D574B6" w14:paraId="6F28AA00" w14:textId="77777777">
      <w:pPr>
        <w:spacing w:after="0"/>
        <w:jc w:val="both"/>
        <w:rPr>
          <w:rFonts w:ascii="Arial Narrow" w:eastAsia="Arial Narrow" w:hAnsi="Arial Narrow" w:cs="Arial Narrow"/>
          <w:i/>
          <w:iCs/>
          <w:noProof/>
          <w:sz w:val="18"/>
          <w:szCs w:val="18"/>
        </w:rPr>
      </w:pPr>
      <w:r w:rsidRPr="002F66D3">
        <w:rPr>
          <w:rFonts w:ascii="Arial Narrow" w:eastAsia="Arial Narrow" w:hAnsi="Arial Narrow" w:cs="Arial Narrow"/>
          <w:i/>
          <w:iCs/>
          <w:noProof/>
          <w:sz w:val="18"/>
          <w:szCs w:val="18"/>
        </w:rPr>
        <w:t>Vērtības</w:t>
      </w:r>
      <w:r w:rsidRPr="002F66D3">
        <w:rPr>
          <w:rFonts w:ascii="Arial Narrow" w:eastAsia="Arial Narrow" w:hAnsi="Arial Narrow" w:cs="Arial Narrow"/>
          <w:i/>
          <w:iCs/>
          <w:noProof/>
          <w:sz w:val="18"/>
          <w:szCs w:val="18"/>
        </w:rPr>
        <w:tab/>
      </w:r>
      <w:r w:rsidRPr="002F66D3">
        <w:rPr>
          <w:rFonts w:ascii="Arial Narrow" w:eastAsia="Arial Narrow" w:hAnsi="Arial Narrow" w:cs="Arial Narrow"/>
          <w:i/>
          <w:iCs/>
          <w:noProof/>
          <w:sz w:val="18"/>
          <w:szCs w:val="18"/>
        </w:rPr>
        <w:tab/>
      </w:r>
      <w:r w:rsidRPr="002F66D3">
        <w:rPr>
          <w:rFonts w:ascii="Arial Narrow" w:eastAsia="Arial Narrow" w:hAnsi="Arial Narrow" w:cs="Arial Narrow"/>
          <w:i/>
          <w:iCs/>
          <w:noProof/>
          <w:sz w:val="18"/>
          <w:szCs w:val="18"/>
        </w:rPr>
        <w:tab/>
      </w:r>
      <w:r w:rsidRPr="002F66D3">
        <w:rPr>
          <w:rFonts w:ascii="Arial Narrow" w:eastAsia="Arial Narrow" w:hAnsi="Arial Narrow" w:cs="Arial Narrow"/>
          <w:i/>
          <w:iCs/>
          <w:noProof/>
          <w:sz w:val="18"/>
          <w:szCs w:val="18"/>
        </w:rPr>
        <w:tab/>
      </w:r>
      <w:r w:rsidRPr="002F66D3">
        <w:rPr>
          <w:rFonts w:ascii="Arial Narrow" w:eastAsia="Arial Narrow" w:hAnsi="Arial Narrow" w:cs="Arial Narrow"/>
          <w:i/>
          <w:iCs/>
          <w:noProof/>
          <w:sz w:val="18"/>
          <w:szCs w:val="18"/>
        </w:rPr>
        <w:tab/>
      </w:r>
      <w:r w:rsidRPr="002F66D3">
        <w:rPr>
          <w:rFonts w:ascii="Arial Narrow" w:eastAsia="Arial Narrow" w:hAnsi="Arial Narrow" w:cs="Arial Narrow"/>
          <w:i/>
          <w:iCs/>
          <w:noProof/>
          <w:sz w:val="18"/>
          <w:szCs w:val="18"/>
        </w:rPr>
        <w:tab/>
      </w:r>
      <w:r w:rsidRPr="002F66D3">
        <w:rPr>
          <w:rFonts w:ascii="Arial Narrow" w:eastAsia="Arial Narrow" w:hAnsi="Arial Narrow" w:cs="Arial Narrow"/>
          <w:i/>
          <w:iCs/>
          <w:noProof/>
          <w:sz w:val="18"/>
          <w:szCs w:val="18"/>
        </w:rPr>
        <w:tab/>
      </w:r>
      <w:r w:rsidRPr="002F66D3">
        <w:rPr>
          <w:rFonts w:ascii="Arial Narrow" w:eastAsia="Arial Narrow" w:hAnsi="Arial Narrow" w:cs="Arial Narrow"/>
          <w:i/>
          <w:iCs/>
          <w:noProof/>
          <w:sz w:val="18"/>
          <w:szCs w:val="18"/>
        </w:rPr>
        <w:tab/>
      </w:r>
      <w:r w:rsidRPr="002F66D3">
        <w:rPr>
          <w:rFonts w:ascii="Arial Narrow" w:eastAsia="Arial Narrow" w:hAnsi="Arial Narrow" w:cs="Arial Narrow"/>
          <w:i/>
          <w:iCs/>
          <w:noProof/>
          <w:sz w:val="18"/>
          <w:szCs w:val="18"/>
        </w:rPr>
        <w:tab/>
      </w:r>
    </w:p>
    <w:p w:rsidR="0094389F" w:rsidRPr="002F66D3" w:rsidP="00D574B6" w14:paraId="2AF2C49E" w14:textId="00FB0E93">
      <w:pPr>
        <w:pStyle w:val="ListParagraph"/>
        <w:numPr>
          <w:ilvl w:val="0"/>
          <w:numId w:val="1"/>
        </w:num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Drosme – mēs redzam izaicinājumu visā, kas stājas mums ceļā, un izaugsmi tajā, ko darām. Pārmaiņas ir mūsu virzītājspēks, un mēs tās gaidām ar augstu paceltu galvu. Mēs sakām jā katrai iespējai, parādot spēku un drosmi!</w:t>
      </w:r>
    </w:p>
    <w:p w:rsidR="0094389F" w:rsidRPr="002F66D3" w:rsidP="00D574B6" w14:paraId="3E6DAE46" w14:textId="343A1687">
      <w:pPr>
        <w:pStyle w:val="ListParagraph"/>
        <w:numPr>
          <w:ilvl w:val="0"/>
          <w:numId w:val="1"/>
        </w:num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 xml:space="preserve">Enerģija – mēs </w:t>
      </w:r>
      <w:r w:rsidRPr="002F66D3">
        <w:rPr>
          <w:rFonts w:ascii="Arial Narrow" w:eastAsia="Arial Narrow" w:hAnsi="Arial Narrow" w:cs="Arial Narrow"/>
          <w:noProof/>
          <w:sz w:val="18"/>
          <w:szCs w:val="18"/>
        </w:rPr>
        <w:t>tiecamies pēc panākumiem un izcilības. Mēs izbaudām procesu un izaicinājumus mūsu ceļā, taču mūsu rezultāti ir vissvarīgākie. Mūsu uzvaras dod mums drosmi un enerģiju nākotnei!</w:t>
      </w:r>
    </w:p>
    <w:p w:rsidR="0094389F" w:rsidRPr="002F66D3" w:rsidP="00D574B6" w14:paraId="263888B3" w14:textId="77777777">
      <w:pPr>
        <w:pStyle w:val="ListParagraph"/>
        <w:numPr>
          <w:ilvl w:val="0"/>
          <w:numId w:val="1"/>
        </w:num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Mērķis – mēs uzņemamies pilnu atbildību par savām darbībām un lēmumiem un mudin</w:t>
      </w:r>
      <w:r w:rsidRPr="002F66D3">
        <w:rPr>
          <w:rFonts w:ascii="Arial Narrow" w:eastAsia="Arial Narrow" w:hAnsi="Arial Narrow" w:cs="Arial Narrow"/>
          <w:noProof/>
          <w:sz w:val="18"/>
          <w:szCs w:val="18"/>
        </w:rPr>
        <w:t>ām to darīt arī citus. Iniciatīva ļauj mums virzīties uz priekšu, nevis pasīvi reaģēt. Lai arī ceļš var būt līkumains, mērķtiecība mūs ved uz priekšu!</w:t>
      </w:r>
    </w:p>
    <w:p w:rsidR="002A24B4" w:rsidRPr="002F66D3" w:rsidP="00D574B6" w14:paraId="4E50AA22" w14:textId="1A1EAF51">
      <w:pPr>
        <w:pStyle w:val="ListParagraph"/>
        <w:numPr>
          <w:ilvl w:val="0"/>
          <w:numId w:val="1"/>
        </w:num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 xml:space="preserve">Mīlestība – mūsu biznesa pamatā ir mīlestība pret darbu, ko darām, un klientiem, kurus apkalpojam. Radām </w:t>
      </w:r>
      <w:r w:rsidRPr="002F66D3">
        <w:rPr>
          <w:rFonts w:ascii="Arial Narrow" w:eastAsia="Arial Narrow" w:hAnsi="Arial Narrow" w:cs="Arial Narrow"/>
          <w:noProof/>
          <w:sz w:val="18"/>
          <w:szCs w:val="18"/>
        </w:rPr>
        <w:t>iespējas, kas nodrošina mobilitāti, jo saprotam vēlmi iemīlēt automašīnas.</w:t>
      </w:r>
      <w:r w:rsidRPr="002F66D3" w:rsidR="00715BA7">
        <w:rPr>
          <w:rFonts w:ascii="Arial Narrow" w:eastAsia="Arial Narrow" w:hAnsi="Arial Narrow" w:cs="Arial Narrow"/>
          <w:noProof/>
          <w:sz w:val="18"/>
          <w:szCs w:val="18"/>
        </w:rPr>
        <w:tab/>
      </w:r>
      <w:r w:rsidRPr="002F66D3" w:rsidR="00715BA7">
        <w:rPr>
          <w:rFonts w:ascii="Arial Narrow" w:eastAsia="Arial Narrow" w:hAnsi="Arial Narrow" w:cs="Arial Narrow"/>
          <w:noProof/>
          <w:sz w:val="18"/>
          <w:szCs w:val="18"/>
        </w:rPr>
        <w:tab/>
      </w:r>
      <w:r w:rsidRPr="002F66D3" w:rsidR="00715BA7">
        <w:rPr>
          <w:rFonts w:ascii="Arial Narrow" w:eastAsia="Arial Narrow" w:hAnsi="Arial Narrow" w:cs="Arial Narrow"/>
          <w:noProof/>
          <w:sz w:val="18"/>
          <w:szCs w:val="18"/>
        </w:rPr>
        <w:tab/>
      </w:r>
      <w:r w:rsidRPr="002F66D3" w:rsidR="00715BA7">
        <w:rPr>
          <w:rFonts w:ascii="Arial Narrow" w:eastAsia="Arial Narrow" w:hAnsi="Arial Narrow" w:cs="Arial Narrow"/>
          <w:noProof/>
          <w:sz w:val="18"/>
          <w:szCs w:val="18"/>
        </w:rPr>
        <w:tab/>
      </w:r>
      <w:r w:rsidRPr="002F66D3" w:rsidR="00715BA7">
        <w:rPr>
          <w:rFonts w:ascii="Arial Narrow" w:eastAsia="Arial Narrow" w:hAnsi="Arial Narrow" w:cs="Arial Narrow"/>
          <w:noProof/>
          <w:sz w:val="18"/>
          <w:szCs w:val="18"/>
        </w:rPr>
        <w:tab/>
      </w:r>
      <w:r w:rsidRPr="002F66D3" w:rsidR="00715BA7">
        <w:rPr>
          <w:rFonts w:ascii="Arial Narrow" w:eastAsia="Arial Narrow" w:hAnsi="Arial Narrow" w:cs="Arial Narrow"/>
          <w:noProof/>
          <w:sz w:val="18"/>
          <w:szCs w:val="18"/>
        </w:rPr>
        <w:tab/>
      </w:r>
      <w:r w:rsidRPr="002F66D3" w:rsidR="00715BA7">
        <w:rPr>
          <w:rFonts w:ascii="Arial Narrow" w:eastAsia="Arial Narrow" w:hAnsi="Arial Narrow" w:cs="Arial Narrow"/>
          <w:noProof/>
          <w:sz w:val="18"/>
          <w:szCs w:val="18"/>
        </w:rPr>
        <w:tab/>
      </w:r>
      <w:r w:rsidRPr="002F66D3" w:rsidR="00715BA7">
        <w:rPr>
          <w:rFonts w:ascii="Arial Narrow" w:eastAsia="Arial Narrow" w:hAnsi="Arial Narrow" w:cs="Arial Narrow"/>
          <w:noProof/>
          <w:sz w:val="18"/>
          <w:szCs w:val="18"/>
        </w:rPr>
        <w:tab/>
      </w:r>
      <w:r w:rsidRPr="002F66D3" w:rsidR="00715BA7">
        <w:rPr>
          <w:rFonts w:ascii="Arial Narrow" w:eastAsia="Arial Narrow" w:hAnsi="Arial Narrow" w:cs="Arial Narrow"/>
          <w:noProof/>
          <w:sz w:val="18"/>
          <w:szCs w:val="18"/>
        </w:rPr>
        <w:tab/>
      </w:r>
    </w:p>
    <w:p w:rsidR="002A24B4" w:rsidRPr="002F66D3" w:rsidP="00D574B6" w14:paraId="079BC248" w14:textId="77777777">
      <w:pPr>
        <w:spacing w:after="0"/>
        <w:jc w:val="both"/>
        <w:rPr>
          <w:rFonts w:ascii="Arial Narrow" w:eastAsia="Arial Narrow" w:hAnsi="Arial Narrow" w:cs="Arial Narrow"/>
          <w:b/>
          <w:bCs/>
          <w:noProof/>
          <w:sz w:val="18"/>
          <w:szCs w:val="18"/>
        </w:rPr>
      </w:pPr>
      <w:r w:rsidRPr="002F66D3">
        <w:rPr>
          <w:rFonts w:ascii="Arial Narrow" w:eastAsia="Arial Narrow" w:hAnsi="Arial Narrow" w:cs="Arial Narrow"/>
          <w:b/>
          <w:bCs/>
          <w:noProof/>
          <w:sz w:val="18"/>
          <w:szCs w:val="18"/>
        </w:rPr>
        <w:t>Darbība un finanšu rezultāti</w:t>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p>
    <w:p w:rsidR="002A24B4" w:rsidRPr="002F66D3" w:rsidP="00D574B6" w14:paraId="7D78F528"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p>
    <w:p w:rsidR="00E81397" w:rsidRPr="002F66D3" w:rsidP="00D574B6" w14:paraId="7F90B033"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Koncerna kopējie ieņēmumi, ieskaitot neto procentus par finanšu produktiem un ienākumus no ilgtermiņa nomas pakalpojumiem, s</w:t>
      </w:r>
      <w:r w:rsidRPr="002F66D3">
        <w:rPr>
          <w:rFonts w:ascii="Arial Narrow" w:eastAsia="Arial Narrow" w:hAnsi="Arial Narrow" w:cs="Arial Narrow"/>
          <w:noProof/>
          <w:sz w:val="18"/>
          <w:szCs w:val="18"/>
        </w:rPr>
        <w:t>asniedza 13.5 miljonus eiro (par 16% mazāk nekā 2020.gadā).</w:t>
      </w:r>
    </w:p>
    <w:p w:rsidR="00536301" w:rsidRPr="002F66D3" w:rsidP="00D574B6" w14:paraId="56D31DAE" w14:textId="3313598D">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Ieņēmumi no automašīnu nomas ir pieauguši par 5% salīdzinot pret 2020.</w:t>
      </w:r>
      <w:r w:rsidRPr="002F66D3" w:rsidR="004E05C9">
        <w:rPr>
          <w:rFonts w:ascii="Arial Narrow" w:eastAsia="Arial Narrow" w:hAnsi="Arial Narrow" w:cs="Arial Narrow"/>
          <w:noProof/>
          <w:sz w:val="18"/>
          <w:szCs w:val="18"/>
        </w:rPr>
        <w:t xml:space="preserve"> </w:t>
      </w:r>
      <w:r w:rsidRPr="002F66D3">
        <w:rPr>
          <w:rFonts w:ascii="Arial Narrow" w:eastAsia="Arial Narrow" w:hAnsi="Arial Narrow" w:cs="Arial Narrow"/>
          <w:noProof/>
          <w:sz w:val="18"/>
          <w:szCs w:val="18"/>
        </w:rPr>
        <w:t>gadu un sasniedz</w:t>
      </w:r>
      <w:r w:rsidRPr="002F66D3" w:rsidR="004E05C9">
        <w:rPr>
          <w:rFonts w:ascii="Arial Narrow" w:eastAsia="Arial Narrow" w:hAnsi="Arial Narrow" w:cs="Arial Narrow"/>
          <w:noProof/>
          <w:sz w:val="18"/>
          <w:szCs w:val="18"/>
        </w:rPr>
        <w:t>ot</w:t>
      </w:r>
      <w:r w:rsidRPr="002F66D3">
        <w:rPr>
          <w:rFonts w:ascii="Arial Narrow" w:eastAsia="Arial Narrow" w:hAnsi="Arial Narrow" w:cs="Arial Narrow"/>
          <w:noProof/>
          <w:sz w:val="18"/>
          <w:szCs w:val="18"/>
        </w:rPr>
        <w:t xml:space="preserve"> 6.5 miljonus eiro</w:t>
      </w:r>
      <w:r w:rsidRPr="002F66D3" w:rsidR="004E05C9">
        <w:rPr>
          <w:rFonts w:ascii="Arial Narrow" w:eastAsia="Arial Narrow" w:hAnsi="Arial Narrow" w:cs="Arial Narrow"/>
          <w:noProof/>
          <w:sz w:val="18"/>
          <w:szCs w:val="18"/>
        </w:rPr>
        <w:t>.</w:t>
      </w:r>
      <w:r w:rsidRPr="002F66D3">
        <w:rPr>
          <w:rFonts w:ascii="Arial Narrow" w:eastAsia="Arial Narrow" w:hAnsi="Arial Narrow" w:cs="Arial Narrow"/>
          <w:noProof/>
          <w:sz w:val="18"/>
          <w:szCs w:val="18"/>
        </w:rPr>
        <w:t xml:space="preserve"> Koncerna neto peļņa sasniedza 5.</w:t>
      </w:r>
      <w:r w:rsidRPr="002F66D3" w:rsidR="00F97F7B">
        <w:rPr>
          <w:rFonts w:ascii="Arial Narrow" w:eastAsia="Arial Narrow" w:hAnsi="Arial Narrow" w:cs="Arial Narrow"/>
          <w:noProof/>
          <w:sz w:val="18"/>
          <w:szCs w:val="18"/>
        </w:rPr>
        <w:t>6</w:t>
      </w:r>
      <w:r w:rsidRPr="002F66D3">
        <w:rPr>
          <w:rFonts w:ascii="Arial Narrow" w:eastAsia="Arial Narrow" w:hAnsi="Arial Narrow" w:cs="Arial Narrow"/>
          <w:noProof/>
          <w:sz w:val="18"/>
          <w:szCs w:val="18"/>
        </w:rPr>
        <w:t xml:space="preserve"> miljonus eiro</w:t>
      </w:r>
      <w:r w:rsidRPr="002F66D3" w:rsidR="00F97F7B">
        <w:rPr>
          <w:rFonts w:ascii="Arial Narrow" w:eastAsia="Arial Narrow" w:hAnsi="Arial Narrow" w:cs="Arial Narrow"/>
          <w:noProof/>
          <w:sz w:val="18"/>
          <w:szCs w:val="18"/>
        </w:rPr>
        <w:t xml:space="preserve"> un saglabājās 2020. gada līmenī</w:t>
      </w:r>
      <w:r w:rsidRPr="002F66D3">
        <w:rPr>
          <w:rFonts w:ascii="Arial Narrow" w:eastAsia="Arial Narrow" w:hAnsi="Arial Narrow" w:cs="Arial Narrow"/>
          <w:noProof/>
          <w:sz w:val="18"/>
          <w:szCs w:val="18"/>
        </w:rPr>
        <w:t xml:space="preserve"> (5.6 miljoni eiro).</w:t>
      </w:r>
    </w:p>
    <w:p w:rsidR="00536301" w:rsidRPr="002F66D3" w:rsidP="00D574B6" w14:paraId="7C268362" w14:textId="77777777">
      <w:pPr>
        <w:spacing w:after="0"/>
        <w:jc w:val="both"/>
        <w:rPr>
          <w:rFonts w:ascii="Arial Narrow" w:eastAsia="Arial Narrow" w:hAnsi="Arial Narrow" w:cs="Arial Narrow"/>
          <w:noProof/>
          <w:sz w:val="18"/>
          <w:szCs w:val="18"/>
        </w:rPr>
      </w:pPr>
    </w:p>
    <w:p w:rsidR="00EB03DC" w:rsidP="00D574B6" w14:paraId="2B8C4AE5" w14:textId="77777777">
      <w:pPr>
        <w:spacing w:after="0"/>
        <w:jc w:val="both"/>
        <w:rPr>
          <w:rFonts w:ascii="Arial Narrow" w:eastAsia="Arial Narrow" w:hAnsi="Arial Narrow" w:cs="Arial Narrow"/>
          <w:noProof/>
          <w:sz w:val="18"/>
          <w:szCs w:val="18"/>
        </w:rPr>
      </w:pPr>
    </w:p>
    <w:p w:rsidR="002F66D3" w:rsidP="00D574B6" w14:paraId="46520524" w14:textId="215BD488">
      <w:pPr>
        <w:spacing w:after="0"/>
        <w:jc w:val="both"/>
        <w:rPr>
          <w:rFonts w:ascii="Arial Narrow" w:eastAsia="Arial Narrow" w:hAnsi="Arial Narrow" w:cs="Arial Narrow"/>
          <w:noProof/>
          <w:sz w:val="18"/>
          <w:szCs w:val="18"/>
        </w:rPr>
        <w:sectPr w:rsidSect="00502467">
          <w:headerReference w:type="even" r:id="rId12"/>
          <w:headerReference w:type="default" r:id="rId13"/>
          <w:footerReference w:type="even" r:id="rId14"/>
          <w:footerReference w:type="default" r:id="rId15"/>
          <w:headerReference w:type="first" r:id="rId16"/>
          <w:footerReference w:type="first" r:id="rId17"/>
          <w:type w:val="continuous"/>
          <w:pgSz w:w="11906" w:h="16838"/>
          <w:pgMar w:top="1418" w:right="1134" w:bottom="851" w:left="1134" w:header="431" w:footer="431" w:gutter="0"/>
          <w:pgBorders w:zOrder="front" w:display="allPages" w:offsetFrom="text">
            <w:top w:val="nil"/>
            <w:left w:val="nil"/>
            <w:bottom w:val="nil"/>
            <w:right w:val="nil"/>
          </w:pgBorders>
          <w:cols w:space="708"/>
          <w:vAlign w:val="top"/>
          <w:titlePg w:val="0"/>
          <w:rtlGutter w:val="0"/>
          <w:docGrid w:linePitch="360"/>
        </w:sectPr>
      </w:pPr>
      <w:r w:rsidRPr="002F66D3">
        <w:rPr>
          <w:rFonts w:ascii="Arial Narrow" w:eastAsia="Arial Narrow" w:hAnsi="Arial Narrow" w:cs="Arial Narrow"/>
          <w:noProof/>
          <w:sz w:val="18"/>
          <w:szCs w:val="18"/>
        </w:rPr>
        <w:t>.</w:t>
      </w:r>
    </w:p>
    <w:p w:rsidR="002F66D3" w:rsidP="00D574B6" w14:paraId="16D9C3F2" w14:textId="77777777">
      <w:pPr>
        <w:spacing w:after="0"/>
        <w:jc w:val="both"/>
        <w:rPr>
          <w:rFonts w:ascii="Arial Narrow" w:eastAsia="Arial Narrow" w:hAnsi="Arial Narrow" w:cs="Arial Narrow"/>
          <w:noProof/>
          <w:sz w:val="18"/>
          <w:szCs w:val="18"/>
        </w:rPr>
      </w:pPr>
    </w:p>
    <w:p w:rsidR="002F66D3" w:rsidP="002F66D3" w14:paraId="4C555F65" w14:textId="69A9498F">
      <w:pPr>
        <w:spacing w:after="0"/>
        <w:jc w:val="center"/>
        <w:rPr>
          <w:rFonts w:ascii="Arial Narrow" w:eastAsia="Arial Narrow" w:hAnsi="Arial Narrow" w:cs="Arial Narrow"/>
          <w:b/>
          <w:bCs/>
          <w:noProof/>
          <w:sz w:val="18"/>
          <w:szCs w:val="18"/>
        </w:rPr>
      </w:pPr>
      <w:r w:rsidRPr="002F66D3">
        <w:rPr>
          <w:rFonts w:ascii="Arial Narrow" w:eastAsia="Arial Narrow" w:hAnsi="Arial Narrow" w:cs="Arial Narrow"/>
          <w:b/>
          <w:bCs/>
          <w:noProof/>
          <w:sz w:val="18"/>
          <w:szCs w:val="18"/>
        </w:rPr>
        <w:t>Vadības ziņojums (turpinājums)</w:t>
      </w:r>
    </w:p>
    <w:p w:rsidR="00D2441B" w:rsidRPr="002F66D3" w:rsidP="002F66D3" w14:paraId="1E77D2A3" w14:textId="77777777">
      <w:pPr>
        <w:spacing w:after="0"/>
        <w:jc w:val="center"/>
        <w:rPr>
          <w:rFonts w:ascii="Arial Narrow" w:eastAsia="Arial Narrow" w:hAnsi="Arial Narrow" w:cs="Arial Narrow"/>
          <w:b/>
          <w:bCs/>
          <w:noProof/>
          <w:sz w:val="18"/>
          <w:szCs w:val="18"/>
        </w:rPr>
      </w:pPr>
    </w:p>
    <w:p w:rsidR="002F66D3" w:rsidP="00D574B6" w14:paraId="74F09371" w14:textId="77777777">
      <w:pPr>
        <w:spacing w:after="0"/>
        <w:jc w:val="both"/>
        <w:rPr>
          <w:rFonts w:ascii="Arial Narrow" w:eastAsia="Arial Narrow" w:hAnsi="Arial Narrow" w:cs="Arial Narrow"/>
          <w:noProof/>
          <w:sz w:val="18"/>
          <w:szCs w:val="18"/>
        </w:rPr>
      </w:pPr>
    </w:p>
    <w:p w:rsidR="00EB03DC" w:rsidP="00D574B6" w14:paraId="52DA2210" w14:textId="3D5E034F">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Aktīvu kopsumma 2021. gada 31. decembrī ir 55 miljoni (par 6% mazāk nekā 31.12.2020). 2021. gada beigās kredītu un līzinga portfeļa bruto vērtība sasniedza 7.3 miljonus eiro (par 52% mazāk nekā  31.12.2020), savukārt autoparka vērtība ir samazinājusies līdz 10.7 miljoniem eiro (14.5 miljoni eiro 2020.gadā)</w:t>
      </w:r>
    </w:p>
    <w:p w:rsidR="00EB03DC" w:rsidP="00D574B6" w14:paraId="2C090F14" w14:textId="77777777">
      <w:pPr>
        <w:spacing w:after="0"/>
        <w:jc w:val="both"/>
        <w:rPr>
          <w:rFonts w:ascii="Arial Narrow" w:eastAsia="Arial Narrow" w:hAnsi="Arial Narrow" w:cs="Arial Narrow"/>
          <w:noProof/>
          <w:sz w:val="18"/>
          <w:szCs w:val="18"/>
        </w:rPr>
      </w:pPr>
    </w:p>
    <w:p w:rsidR="00536301" w:rsidRPr="002F66D3" w:rsidP="00D574B6" w14:paraId="02EE7607" w14:textId="1559AB30">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Kopš dibināšanas 2012. gadā Koncerns šogad ir sasniedzis augstāko neto peļņas rādītāju, kas tika nodr</w:t>
      </w:r>
      <w:r w:rsidRPr="002F66D3">
        <w:rPr>
          <w:rFonts w:ascii="Arial Narrow" w:eastAsia="Arial Narrow" w:hAnsi="Arial Narrow" w:cs="Arial Narrow"/>
          <w:noProof/>
          <w:sz w:val="18"/>
          <w:szCs w:val="18"/>
        </w:rPr>
        <w:t>ošināta ar saistīto uzņēmumu apkalpošanu un peļņu nesošā portfeļa pārdošanas turpināšanu</w:t>
      </w:r>
      <w:r w:rsidRPr="002F66D3" w:rsidR="0065304A">
        <w:rPr>
          <w:rFonts w:ascii="Arial Narrow" w:eastAsia="Arial Narrow" w:hAnsi="Arial Narrow" w:cs="Arial Narrow"/>
          <w:noProof/>
          <w:sz w:val="18"/>
          <w:szCs w:val="18"/>
        </w:rPr>
        <w:t>.</w:t>
      </w:r>
      <w:r w:rsidRPr="002F66D3">
        <w:rPr>
          <w:rFonts w:ascii="Arial Narrow" w:eastAsia="Arial Narrow" w:hAnsi="Arial Narrow" w:cs="Arial Narrow"/>
          <w:noProof/>
          <w:sz w:val="18"/>
          <w:szCs w:val="18"/>
        </w:rPr>
        <w:t xml:space="preserve"> Peļņu nesošie portfeļi februārī un jūlijā tika pārdoti AS Primero Finance ar nominālvērtību 6,5 miljoni eiro. Darījumi radīja 2 miljonu eiro peļņu un turpināja stipri</w:t>
      </w:r>
      <w:r w:rsidRPr="002F66D3">
        <w:rPr>
          <w:rFonts w:ascii="Arial Narrow" w:eastAsia="Arial Narrow" w:hAnsi="Arial Narrow" w:cs="Arial Narrow"/>
          <w:noProof/>
          <w:sz w:val="18"/>
          <w:szCs w:val="18"/>
        </w:rPr>
        <w:t>nāt likviditāti un kapitalizāciju. Vienlaikus saistītajām personām izsniegtie aizdevumi pieauga no 28 miljoniem eiro 2020.gada beigās līdz 35 miljoniem eiro 2021.gada beigās, tādējādi uzsverot Koncerna nozīmi Eleving grupas struktūrā. Pietiekama kapitalizā</w:t>
      </w:r>
      <w:r w:rsidRPr="002F66D3">
        <w:rPr>
          <w:rFonts w:ascii="Arial Narrow" w:eastAsia="Arial Narrow" w:hAnsi="Arial Narrow" w:cs="Arial Narrow"/>
          <w:noProof/>
          <w:sz w:val="18"/>
          <w:szCs w:val="18"/>
        </w:rPr>
        <w:t>cija ļāva samazināt Mātes uzņēmuma pamatkapitālu no 5 miljoniem eiro līdz 425 tūkstošiem eiro.</w:t>
      </w:r>
    </w:p>
    <w:p w:rsidR="00536301" w:rsidRPr="002F66D3" w:rsidP="00D574B6" w14:paraId="113289DE" w14:textId="77777777">
      <w:pPr>
        <w:spacing w:after="0"/>
        <w:jc w:val="both"/>
        <w:rPr>
          <w:rFonts w:ascii="Arial Narrow" w:eastAsia="Arial Narrow" w:hAnsi="Arial Narrow" w:cs="Arial Narrow"/>
          <w:noProof/>
          <w:sz w:val="18"/>
          <w:szCs w:val="18"/>
        </w:rPr>
      </w:pPr>
    </w:p>
    <w:p w:rsidR="00536301" w:rsidRPr="002F66D3" w:rsidP="00D574B6" w14:paraId="5ADFBA47" w14:textId="46DC03B9">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Vidēji mēnesī Koncerns noslēdza 145 jaunus klientu līgumus, nosedzot 14% tirgus daļu lietotu automašīnu nomā un līzingā. Tika ieviesti turpmāki darbības uzlaboj</w:t>
      </w:r>
      <w:r w:rsidRPr="002F66D3">
        <w:rPr>
          <w:rFonts w:ascii="Arial Narrow" w:eastAsia="Arial Narrow" w:hAnsi="Arial Narrow" w:cs="Arial Narrow"/>
          <w:noProof/>
          <w:sz w:val="18"/>
          <w:szCs w:val="18"/>
        </w:rPr>
        <w:t>umi mūsu klientu apkalpošanas un sadarbības partneru pārvaldības procesos, kas ļāva mums efektīvāk apkalpot klientus. Koncerns ir būtiski uzlabojis automašīnu pārdošanas procesus, kas ļāva samazināt zaudējumus no automašīnu pārdošanas no 1,2 miljoniem eiro</w:t>
      </w:r>
      <w:r w:rsidRPr="002F66D3">
        <w:rPr>
          <w:rFonts w:ascii="Arial Narrow" w:eastAsia="Arial Narrow" w:hAnsi="Arial Narrow" w:cs="Arial Narrow"/>
          <w:noProof/>
          <w:sz w:val="18"/>
          <w:szCs w:val="18"/>
        </w:rPr>
        <w:t xml:space="preserve"> 2020. gadā līdz 112 tūkstošiem eiro 2021. gadā. Portfeļa samazināšanās un stabila klientu maksājumu disciplīna ir palīdzējusi samazināt vērtības samazināšanās līmeni no 2,</w:t>
      </w:r>
      <w:r w:rsidRPr="002F66D3" w:rsidR="0065304A">
        <w:rPr>
          <w:rFonts w:ascii="Arial Narrow" w:eastAsia="Arial Narrow" w:hAnsi="Arial Narrow" w:cs="Arial Narrow"/>
          <w:noProof/>
          <w:sz w:val="18"/>
          <w:szCs w:val="18"/>
        </w:rPr>
        <w:t>4</w:t>
      </w:r>
      <w:r w:rsidRPr="002F66D3">
        <w:rPr>
          <w:rFonts w:ascii="Arial Narrow" w:eastAsia="Arial Narrow" w:hAnsi="Arial Narrow" w:cs="Arial Narrow"/>
          <w:noProof/>
          <w:sz w:val="18"/>
          <w:szCs w:val="18"/>
        </w:rPr>
        <w:t xml:space="preserve"> miljoniem eiro 2020. gadā līdz 1,</w:t>
      </w:r>
      <w:r w:rsidRPr="002F66D3" w:rsidR="0065304A">
        <w:rPr>
          <w:rFonts w:ascii="Arial Narrow" w:eastAsia="Arial Narrow" w:hAnsi="Arial Narrow" w:cs="Arial Narrow"/>
          <w:noProof/>
          <w:sz w:val="18"/>
          <w:szCs w:val="18"/>
        </w:rPr>
        <w:t>8</w:t>
      </w:r>
      <w:r w:rsidRPr="002F66D3">
        <w:rPr>
          <w:rFonts w:ascii="Arial Narrow" w:eastAsia="Arial Narrow" w:hAnsi="Arial Narrow" w:cs="Arial Narrow"/>
          <w:noProof/>
          <w:sz w:val="18"/>
          <w:szCs w:val="18"/>
        </w:rPr>
        <w:t xml:space="preserve"> miljoniem eiro. miljonu eiro apmērā 2021. </w:t>
      </w:r>
      <w:r w:rsidR="002F66D3">
        <w:rPr>
          <w:rFonts w:ascii="Arial Narrow" w:eastAsia="Arial Narrow" w:hAnsi="Arial Narrow" w:cs="Arial Narrow"/>
          <w:noProof/>
          <w:sz w:val="18"/>
          <w:szCs w:val="18"/>
        </w:rPr>
        <w:t>gadā.</w:t>
      </w:r>
    </w:p>
    <w:p w:rsidR="00536301" w:rsidRPr="002F66D3" w:rsidP="00D574B6" w14:paraId="53FA2237" w14:textId="77777777">
      <w:pPr>
        <w:spacing w:after="0"/>
        <w:jc w:val="both"/>
        <w:rPr>
          <w:rFonts w:ascii="Arial Narrow" w:eastAsia="Arial Narrow" w:hAnsi="Arial Narrow" w:cs="Arial Narrow"/>
          <w:noProof/>
          <w:sz w:val="18"/>
          <w:szCs w:val="18"/>
        </w:rPr>
      </w:pPr>
    </w:p>
    <w:p w:rsidR="00536301" w:rsidRPr="002F66D3" w:rsidP="00D574B6" w14:paraId="3DFF6B73" w14:textId="4179765E">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Ieņēmum</w:t>
      </w:r>
      <w:r w:rsidRPr="002F66D3" w:rsidR="00F97F7B">
        <w:rPr>
          <w:rFonts w:ascii="Arial Narrow" w:eastAsia="Arial Narrow" w:hAnsi="Arial Narrow" w:cs="Arial Narrow"/>
          <w:noProof/>
          <w:sz w:val="18"/>
          <w:szCs w:val="18"/>
        </w:rPr>
        <w:t>i</w:t>
      </w:r>
      <w:r w:rsidRPr="002F66D3">
        <w:rPr>
          <w:rFonts w:ascii="Arial Narrow" w:eastAsia="Arial Narrow" w:hAnsi="Arial Narrow" w:cs="Arial Narrow"/>
          <w:noProof/>
          <w:sz w:val="18"/>
          <w:szCs w:val="18"/>
        </w:rPr>
        <w:t xml:space="preserve"> palielināšana no saistīto uzņēmumu apkalpošanas </w:t>
      </w:r>
      <w:r w:rsidRPr="002F66D3" w:rsidR="003E6D4C">
        <w:rPr>
          <w:rFonts w:ascii="Arial Narrow" w:eastAsia="Arial Narrow" w:hAnsi="Arial Narrow" w:cs="Arial Narrow"/>
          <w:noProof/>
          <w:sz w:val="18"/>
          <w:szCs w:val="18"/>
        </w:rPr>
        <w:t xml:space="preserve">no 448 tūkstošiem eiro 2020. gadā līdz 822 tūkstošiem eiro 2021. gadā </w:t>
      </w:r>
      <w:r w:rsidRPr="002F66D3">
        <w:rPr>
          <w:rFonts w:ascii="Arial Narrow" w:eastAsia="Arial Narrow" w:hAnsi="Arial Narrow" w:cs="Arial Narrow"/>
          <w:noProof/>
          <w:sz w:val="18"/>
          <w:szCs w:val="18"/>
        </w:rPr>
        <w:t xml:space="preserve">ļāva </w:t>
      </w:r>
      <w:r w:rsidRPr="002F66D3" w:rsidR="003E6D4C">
        <w:rPr>
          <w:rFonts w:ascii="Arial Narrow" w:eastAsia="Arial Narrow" w:hAnsi="Arial Narrow" w:cs="Arial Narrow"/>
          <w:noProof/>
          <w:sz w:val="18"/>
          <w:szCs w:val="18"/>
        </w:rPr>
        <w:t>noturēt stabilu</w:t>
      </w:r>
      <w:r w:rsidRPr="002F66D3">
        <w:rPr>
          <w:rFonts w:ascii="Arial Narrow" w:eastAsia="Arial Narrow" w:hAnsi="Arial Narrow" w:cs="Arial Narrow"/>
          <w:noProof/>
          <w:sz w:val="18"/>
          <w:szCs w:val="18"/>
        </w:rPr>
        <w:t xml:space="preserve"> pārējo saimnieciskās darbības ienākumu līmeni no 2,4 miljoniem eiro 2020.gadā līdz 2,5 miljoniem eiro 2021</w:t>
      </w:r>
      <w:r w:rsidRPr="002F66D3">
        <w:rPr>
          <w:rFonts w:ascii="Arial Narrow" w:eastAsia="Arial Narrow" w:hAnsi="Arial Narrow" w:cs="Arial Narrow"/>
          <w:noProof/>
          <w:sz w:val="18"/>
          <w:szCs w:val="18"/>
        </w:rPr>
        <w:t>.gadā.</w:t>
      </w:r>
    </w:p>
    <w:p w:rsidR="00536301" w:rsidRPr="002F66D3" w:rsidP="00D574B6" w14:paraId="0ACA01F5" w14:textId="77777777">
      <w:pPr>
        <w:spacing w:after="0"/>
        <w:jc w:val="both"/>
        <w:rPr>
          <w:rFonts w:ascii="Arial Narrow" w:eastAsia="Arial Narrow" w:hAnsi="Arial Narrow" w:cs="Arial Narrow"/>
          <w:noProof/>
          <w:sz w:val="18"/>
          <w:szCs w:val="18"/>
        </w:rPr>
      </w:pPr>
    </w:p>
    <w:p w:rsidR="00536301" w:rsidRPr="002F66D3" w:rsidP="00D574B6" w14:paraId="2CD5E378" w14:textId="6305294F">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Vēsturiskais bruto ienākumus nenesošais portfelis 2,7 miljonu eiro apmērā, ieskaitot nenodrošinātos atlikumus un sarežģītus gadījumus, tika pārdots nākotnes plūsmas darījumu un vienreizējo cesijas izsoļu rezultātā. Koncerna bilance tika iztīrīta ar</w:t>
      </w:r>
      <w:r w:rsidRPr="002F66D3">
        <w:rPr>
          <w:rFonts w:ascii="Arial Narrow" w:eastAsia="Arial Narrow" w:hAnsi="Arial Narrow" w:cs="Arial Narrow"/>
          <w:noProof/>
          <w:sz w:val="18"/>
          <w:szCs w:val="18"/>
        </w:rPr>
        <w:t xml:space="preserve"> Sabiedrības bilance tika iztīrīta, veidojot 39 tūkstošu eiro zaudējumus no šiem darījumiem.</w:t>
      </w:r>
    </w:p>
    <w:p w:rsidR="00536301" w:rsidRPr="002F66D3" w:rsidP="00D574B6" w14:paraId="248436C8" w14:textId="77777777">
      <w:pPr>
        <w:spacing w:after="0"/>
        <w:jc w:val="both"/>
        <w:rPr>
          <w:rFonts w:ascii="Arial Narrow" w:eastAsia="Arial Narrow" w:hAnsi="Arial Narrow" w:cs="Arial Narrow"/>
          <w:noProof/>
          <w:sz w:val="18"/>
          <w:szCs w:val="18"/>
        </w:rPr>
      </w:pPr>
    </w:p>
    <w:p w:rsidR="00536301" w:rsidRPr="002F66D3" w:rsidP="00D574B6" w14:paraId="7F366C5F" w14:textId="62842E6E">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2021. gadā Koncerns turpināja savu darbību, lai īstenotu savu misiju – padarīt personīgo mobilitāti viegli pieejamu visiem Latvijas iedzīvotājiem, vienlaikus vien</w:t>
      </w:r>
      <w:r w:rsidRPr="002F66D3">
        <w:rPr>
          <w:rFonts w:ascii="Arial Narrow" w:eastAsia="Arial Narrow" w:hAnsi="Arial Narrow" w:cs="Arial Narrow"/>
          <w:noProof/>
          <w:sz w:val="18"/>
          <w:szCs w:val="18"/>
        </w:rPr>
        <w:t xml:space="preserve">ojot mīlestībā pret automašīnām. Dažas no 2021. gadā plānotajām izstrādnēm automatizācijas līmeņa paaugstināšanai un klientu pieredzes uzlabošanai tika atliktas Covid 19 izraisītās nenoteiktības un IT resursu </w:t>
      </w:r>
      <w:r w:rsidRPr="002F66D3" w:rsidR="004E05C9">
        <w:rPr>
          <w:rFonts w:ascii="Arial Narrow" w:eastAsia="Arial Narrow" w:hAnsi="Arial Narrow" w:cs="Arial Narrow"/>
          <w:noProof/>
          <w:sz w:val="18"/>
          <w:szCs w:val="18"/>
        </w:rPr>
        <w:t>ne</w:t>
      </w:r>
      <w:r w:rsidRPr="002F66D3">
        <w:rPr>
          <w:rFonts w:ascii="Arial Narrow" w:eastAsia="Arial Narrow" w:hAnsi="Arial Narrow" w:cs="Arial Narrow"/>
          <w:noProof/>
          <w:sz w:val="18"/>
          <w:szCs w:val="18"/>
        </w:rPr>
        <w:t>pieejamības dēļ. Atliktās izstrādes tiek uzņe</w:t>
      </w:r>
      <w:r w:rsidRPr="002F66D3">
        <w:rPr>
          <w:rFonts w:ascii="Arial Narrow" w:eastAsia="Arial Narrow" w:hAnsi="Arial Narrow" w:cs="Arial Narrow"/>
          <w:noProof/>
          <w:sz w:val="18"/>
          <w:szCs w:val="18"/>
        </w:rPr>
        <w:t xml:space="preserve">mtas un prioritizētas 2022. gadā. Uzlabojumi pozitīvi ietekmētu gan Koncerna klientus, gan AS Primero Finance apkalpotos klientus. Galvenais mērķis automatizācijas jomā ietver tūlītēju lēmumu pieņemšanu klientiem. OCTA apdrošināšana sadarbībā ar AAS Balta </w:t>
      </w:r>
      <w:r w:rsidRPr="002F66D3">
        <w:rPr>
          <w:rFonts w:ascii="Arial Narrow" w:eastAsia="Arial Narrow" w:hAnsi="Arial Narrow" w:cs="Arial Narrow"/>
          <w:noProof/>
          <w:sz w:val="18"/>
          <w:szCs w:val="18"/>
        </w:rPr>
        <w:t>klientiem tiek piedāvāta, pievienojot ikmēneša maksājumiem.</w:t>
      </w:r>
    </w:p>
    <w:p w:rsidR="00536301" w:rsidRPr="002F66D3" w:rsidP="00D574B6" w14:paraId="65E870EB" w14:textId="77777777">
      <w:pPr>
        <w:spacing w:after="0"/>
        <w:jc w:val="both"/>
        <w:rPr>
          <w:rFonts w:ascii="Arial Narrow" w:eastAsia="Arial Narrow" w:hAnsi="Arial Narrow" w:cs="Arial Narrow"/>
          <w:noProof/>
          <w:sz w:val="18"/>
          <w:szCs w:val="18"/>
        </w:rPr>
      </w:pPr>
    </w:p>
    <w:p w:rsidR="00536301" w:rsidRPr="002F66D3" w:rsidP="00D574B6" w14:paraId="2140E3AE"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Grupa turpināja dažādas digitālā un bezsaistes mārketinga kampaņas, lai veicinātu zīmola redzamību un stiprinātu Koncerna zīmolu apzināšanos un atpazīstamību. Īpaša uzmanība digitālajā mārketingā</w:t>
      </w:r>
      <w:r w:rsidRPr="002F66D3">
        <w:rPr>
          <w:rFonts w:ascii="Arial Narrow" w:eastAsia="Arial Narrow" w:hAnsi="Arial Narrow" w:cs="Arial Narrow"/>
          <w:noProof/>
          <w:sz w:val="18"/>
          <w:szCs w:val="18"/>
        </w:rPr>
        <w:t xml:space="preserve"> tika pievērsta Renti zīmolam ilgtermiņa nomas pakalpojumiem un automašīnu tirdzniecībai.</w:t>
      </w:r>
    </w:p>
    <w:p w:rsidR="00536301" w:rsidRPr="002F66D3" w:rsidP="00D574B6" w14:paraId="516B4ACC" w14:textId="77777777">
      <w:pPr>
        <w:spacing w:after="0"/>
        <w:jc w:val="both"/>
        <w:rPr>
          <w:rFonts w:ascii="Arial Narrow" w:eastAsia="Arial Narrow" w:hAnsi="Arial Narrow" w:cs="Arial Narrow"/>
          <w:noProof/>
          <w:sz w:val="18"/>
          <w:szCs w:val="18"/>
        </w:rPr>
      </w:pPr>
    </w:p>
    <w:p w:rsidR="002A24B4" w:rsidRPr="002F66D3" w:rsidP="00D574B6" w14:paraId="23839158" w14:textId="0397F3B2">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 xml:space="preserve">2021. gada 1. martā ar publiskā piedāvājuma palīdzību Mātes sabiedrība emitēja nodrošinātās korporatīvo obligācijas (LV0000802452) 30 miljonu eiro apmērā, kas no </w:t>
      </w:r>
      <w:r w:rsidRPr="002F66D3">
        <w:rPr>
          <w:rFonts w:ascii="Arial Narrow" w:eastAsia="Arial Narrow" w:hAnsi="Arial Narrow" w:cs="Arial Narrow"/>
          <w:noProof/>
          <w:sz w:val="18"/>
          <w:szCs w:val="18"/>
        </w:rPr>
        <w:t>2021. gada 31. marta ir iekļauta regulētajā tirgū – biržas “Nasdaq Riga” Baltijas Obligāciju sarakstā. Obligācijas, ar minimālo parakstīšanas summu EUR 1000, tika emitētas pēc nominālvērtības, to dzēšanas termiņš ir 3 gadi, un tām ir fiksēta kupona summa 1</w:t>
      </w:r>
      <w:r w:rsidRPr="002F66D3">
        <w:rPr>
          <w:rFonts w:ascii="Arial Narrow" w:eastAsia="Arial Narrow" w:hAnsi="Arial Narrow" w:cs="Arial Narrow"/>
          <w:noProof/>
          <w:sz w:val="18"/>
          <w:szCs w:val="18"/>
        </w:rPr>
        <w:t>1% gadā, kas tiek izmaksāta katru mēnesi ar pēcmaksu. Obligācijas tika piedāvātas esošajiem Mogo obligāciju īpašniekiem un citiem privātajiem un institucionālajiem investoriem no Baltijas reģiona. Publiskais piedāvājums sastāvēja no divām daļām – jaunu inv</w:t>
      </w:r>
      <w:r w:rsidRPr="002F66D3">
        <w:rPr>
          <w:rFonts w:ascii="Arial Narrow" w:eastAsia="Arial Narrow" w:hAnsi="Arial Narrow" w:cs="Arial Narrow"/>
          <w:noProof/>
          <w:sz w:val="18"/>
          <w:szCs w:val="18"/>
        </w:rPr>
        <w:t>estoru piesaistīšanas un apmaiņas piedāvājuma esošajiem obligāciju īpašniekiem, kas veiksmīgi tika izdarīts, piedāvājumā piedaloties vairāk nekā 840 investoriem.</w:t>
      </w:r>
      <w:r w:rsidRPr="002F66D3" w:rsidR="00715BA7">
        <w:rPr>
          <w:rFonts w:ascii="Arial Narrow" w:eastAsia="Arial Narrow" w:hAnsi="Arial Narrow" w:cs="Arial Narrow"/>
          <w:noProof/>
          <w:sz w:val="18"/>
          <w:szCs w:val="18"/>
        </w:rPr>
        <w:tab/>
      </w:r>
    </w:p>
    <w:p w:rsidR="00715BA7" w:rsidRPr="002F66D3" w:rsidP="00D574B6" w14:paraId="5910BFAD" w14:textId="729633F3">
      <w:pPr>
        <w:spacing w:after="0"/>
        <w:jc w:val="both"/>
        <w:rPr>
          <w:rFonts w:ascii="Arial Narrow" w:eastAsia="Arial Narrow" w:hAnsi="Arial Narrow" w:cs="Arial Narrow"/>
          <w:noProof/>
          <w:sz w:val="18"/>
          <w:szCs w:val="18"/>
        </w:rPr>
      </w:pPr>
    </w:p>
    <w:p w:rsidR="00715BA7" w:rsidRPr="002F66D3" w:rsidP="00D574B6" w14:paraId="67DF3C78" w14:textId="77777777">
      <w:pPr>
        <w:spacing w:after="0"/>
        <w:jc w:val="both"/>
        <w:rPr>
          <w:rFonts w:ascii="Arial Narrow" w:eastAsia="Arial Narrow" w:hAnsi="Arial Narrow" w:cs="Arial Narrow"/>
          <w:b/>
          <w:bCs/>
          <w:noProof/>
          <w:sz w:val="18"/>
          <w:szCs w:val="18"/>
        </w:rPr>
      </w:pPr>
      <w:r w:rsidRPr="002F66D3">
        <w:rPr>
          <w:rFonts w:ascii="Arial Narrow" w:eastAsia="Arial Narrow" w:hAnsi="Arial Narrow" w:cs="Arial Narrow"/>
          <w:b/>
          <w:bCs/>
          <w:noProof/>
          <w:sz w:val="18"/>
          <w:szCs w:val="18"/>
        </w:rPr>
        <w:t>Cita informācija</w:t>
      </w:r>
    </w:p>
    <w:p w:rsidR="00715BA7" w:rsidRPr="002F66D3" w:rsidP="00D574B6" w14:paraId="7A1FAFBE" w14:textId="77777777">
      <w:pPr>
        <w:spacing w:after="0"/>
        <w:jc w:val="both"/>
        <w:rPr>
          <w:rFonts w:ascii="Arial Narrow" w:eastAsia="Arial Narrow" w:hAnsi="Arial Narrow" w:cs="Arial Narrow"/>
          <w:noProof/>
          <w:sz w:val="18"/>
          <w:szCs w:val="18"/>
        </w:rPr>
      </w:pPr>
    </w:p>
    <w:p w:rsidR="006678C3" w:rsidRPr="002F66D3" w:rsidP="00D574B6" w14:paraId="58FB4195"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Risku pārvaldības funkcija Koncernā tiek veikta - finanšu riskiem, operacionālajiem riskiem un juridiskajiem riskiem. Finanšu risks ietver tirgus risku (t.sk. valūtas risku un procentu likmju risku), kredītrisku un likviditātes risku. Finanšu risku pārvald</w:t>
      </w:r>
      <w:r w:rsidRPr="002F66D3">
        <w:rPr>
          <w:rFonts w:ascii="Arial Narrow" w:eastAsia="Arial Narrow" w:hAnsi="Arial Narrow" w:cs="Arial Narrow"/>
          <w:noProof/>
          <w:sz w:val="18"/>
          <w:szCs w:val="18"/>
        </w:rPr>
        <w:t>īšanas funkcijas primārie mērķi ir noteikt riska limitus un pēc tam nodrošināt, lai risks paliktu šo limitu robežās. Operacionālā un juridiskā riska pārvaldības funkcijas ir paredzētas, lai nodrošinātu iekšējo politiku un procedūru pareizu darbību, lai līd</w:t>
      </w:r>
      <w:r w:rsidRPr="002F66D3">
        <w:rPr>
          <w:rFonts w:ascii="Arial Narrow" w:eastAsia="Arial Narrow" w:hAnsi="Arial Narrow" w:cs="Arial Narrow"/>
          <w:noProof/>
          <w:sz w:val="18"/>
          <w:szCs w:val="18"/>
        </w:rPr>
        <w:t>z minimumam samazinātu operacionālos un juridiskos riskus.</w:t>
      </w:r>
    </w:p>
    <w:p w:rsidR="006678C3" w:rsidRPr="002F66D3" w:rsidP="00D574B6" w14:paraId="3A0FC9C5" w14:textId="77777777">
      <w:pPr>
        <w:spacing w:after="0"/>
        <w:jc w:val="both"/>
        <w:rPr>
          <w:rFonts w:ascii="Arial Narrow" w:eastAsia="Arial Narrow" w:hAnsi="Arial Narrow" w:cs="Arial Narrow"/>
          <w:noProof/>
          <w:sz w:val="18"/>
          <w:szCs w:val="18"/>
        </w:rPr>
      </w:pPr>
    </w:p>
    <w:p w:rsidR="00715BA7" w:rsidRPr="002F66D3" w:rsidP="00D574B6" w14:paraId="3BC1DCB0" w14:textId="77B5635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Sākot ar 2019. gadu, Koncerns gatavo arī nefinanšu pārskatu.</w:t>
      </w:r>
    </w:p>
    <w:p w:rsidR="006678C3" w:rsidRPr="002F66D3" w:rsidP="00D574B6" w14:paraId="04B0EF34" w14:textId="77777777">
      <w:pPr>
        <w:spacing w:after="0"/>
        <w:jc w:val="both"/>
        <w:rPr>
          <w:rFonts w:ascii="Arial Narrow" w:eastAsia="Arial Narrow" w:hAnsi="Arial Narrow" w:cs="Arial Narrow"/>
          <w:noProof/>
          <w:sz w:val="18"/>
          <w:szCs w:val="18"/>
        </w:rPr>
      </w:pPr>
    </w:p>
    <w:p w:rsidR="00715BA7" w:rsidRPr="002F66D3" w:rsidP="00D574B6" w14:paraId="173C281A" w14:textId="77777777">
      <w:pPr>
        <w:spacing w:after="0"/>
        <w:jc w:val="both"/>
        <w:rPr>
          <w:rFonts w:ascii="Arial Narrow" w:eastAsia="Arial Narrow" w:hAnsi="Arial Narrow" w:cs="Arial Narrow"/>
          <w:b/>
          <w:bCs/>
          <w:noProof/>
          <w:sz w:val="18"/>
          <w:szCs w:val="18"/>
        </w:rPr>
      </w:pPr>
      <w:r w:rsidRPr="002F66D3">
        <w:rPr>
          <w:rFonts w:ascii="Arial Narrow" w:eastAsia="Arial Narrow" w:hAnsi="Arial Narrow" w:cs="Arial Narrow"/>
          <w:b/>
          <w:bCs/>
          <w:noProof/>
          <w:sz w:val="18"/>
          <w:szCs w:val="18"/>
        </w:rPr>
        <w:t>Operacionālais risks</w:t>
      </w:r>
    </w:p>
    <w:p w:rsidR="00715BA7" w:rsidRPr="002F66D3" w:rsidP="00D574B6" w14:paraId="79DB30F4" w14:textId="77777777">
      <w:pPr>
        <w:spacing w:after="0"/>
        <w:jc w:val="both"/>
        <w:rPr>
          <w:rFonts w:ascii="Arial Narrow" w:eastAsia="Arial Narrow" w:hAnsi="Arial Narrow" w:cs="Arial Narrow"/>
          <w:noProof/>
          <w:sz w:val="18"/>
          <w:szCs w:val="18"/>
        </w:rPr>
      </w:pPr>
    </w:p>
    <w:p w:rsidR="00715BA7" w:rsidRPr="002F66D3" w:rsidP="00D574B6" w14:paraId="252026C6" w14:textId="64B33E3B">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Koncerna operacionālie riski tiek pārvaldīti, īstenojot sekmīgas risku apdrošināšanas procedūras aizdevumu izsni</w:t>
      </w:r>
      <w:r w:rsidRPr="002F66D3">
        <w:rPr>
          <w:rFonts w:ascii="Arial Narrow" w:eastAsia="Arial Narrow" w:hAnsi="Arial Narrow" w:cs="Arial Narrow"/>
          <w:noProof/>
          <w:sz w:val="18"/>
          <w:szCs w:val="18"/>
        </w:rPr>
        <w:t>egšanas procesa ietvaros, kā arī efektīvas parādu piedziņas procedūras.</w:t>
      </w:r>
    </w:p>
    <w:p w:rsidR="006678C3" w:rsidRPr="002F66D3" w:rsidP="00D574B6" w14:paraId="4B6756AB" w14:textId="77777777">
      <w:pPr>
        <w:spacing w:after="0"/>
        <w:jc w:val="both"/>
        <w:rPr>
          <w:rFonts w:ascii="Arial Narrow" w:eastAsia="Arial Narrow" w:hAnsi="Arial Narrow" w:cs="Arial Narrow"/>
          <w:noProof/>
          <w:sz w:val="18"/>
          <w:szCs w:val="18"/>
        </w:rPr>
      </w:pPr>
    </w:p>
    <w:p w:rsidR="00715BA7" w:rsidRPr="002F66D3" w:rsidP="00D574B6" w14:paraId="6FFAD1E9" w14:textId="77777777">
      <w:pPr>
        <w:spacing w:after="0"/>
        <w:jc w:val="both"/>
        <w:rPr>
          <w:rFonts w:ascii="Arial Narrow" w:eastAsia="Arial Narrow" w:hAnsi="Arial Narrow" w:cs="Arial Narrow"/>
          <w:b/>
          <w:bCs/>
          <w:noProof/>
          <w:sz w:val="18"/>
          <w:szCs w:val="18"/>
        </w:rPr>
      </w:pPr>
      <w:r w:rsidRPr="002F66D3">
        <w:rPr>
          <w:rFonts w:ascii="Arial Narrow" w:eastAsia="Arial Narrow" w:hAnsi="Arial Narrow" w:cs="Arial Narrow"/>
          <w:b/>
          <w:bCs/>
          <w:noProof/>
          <w:sz w:val="18"/>
          <w:szCs w:val="18"/>
        </w:rPr>
        <w:t>Juridiskais risks</w:t>
      </w:r>
    </w:p>
    <w:p w:rsidR="00715BA7" w:rsidRPr="002F66D3" w:rsidP="00D574B6" w14:paraId="5D7C4B9A" w14:textId="45B5F167">
      <w:pPr>
        <w:spacing w:after="0"/>
        <w:jc w:val="both"/>
        <w:rPr>
          <w:rFonts w:ascii="Arial Narrow" w:eastAsia="Arial Narrow" w:hAnsi="Arial Narrow" w:cs="Arial Narrow"/>
          <w:noProof/>
          <w:sz w:val="18"/>
          <w:szCs w:val="18"/>
        </w:rPr>
      </w:pPr>
      <w:r w:rsidRPr="002F66D3">
        <w:rPr>
          <w:rFonts w:ascii="Arial Narrow" w:eastAsia="Arial Narrow" w:hAnsi="Arial Narrow" w:cs="Arial Narrow"/>
          <w:b/>
          <w:bCs/>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p>
    <w:p w:rsidR="00715BA7" w:rsidRPr="002F66D3" w:rsidP="00D574B6" w14:paraId="046D2C57" w14:textId="63978D0D">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Juridisko risku galvenokārt rada izmaiņas tiesību aktos. Šis risks tiek sekmīgi pārvaldīts ar Juridiskā departamenta palīdzību, kā arī piesaistot ārējus ju</w:t>
      </w:r>
      <w:r w:rsidRPr="002F66D3">
        <w:rPr>
          <w:rFonts w:ascii="Arial Narrow" w:eastAsia="Arial Narrow" w:hAnsi="Arial Narrow" w:cs="Arial Narrow"/>
          <w:noProof/>
          <w:sz w:val="18"/>
          <w:szCs w:val="18"/>
        </w:rPr>
        <w:t>riskonsultus, kuri cieši seko līdzi jaunākajām tiesību aktu izmaiņām, kas varētu ietekmēt Koncerna komercdarbību.</w:t>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p>
    <w:p w:rsidR="002F66D3" w:rsidP="00D574B6" w14:paraId="264D51D8" w14:textId="5AB1CD88">
      <w:pPr>
        <w:spacing w:after="0"/>
        <w:jc w:val="both"/>
        <w:rPr>
          <w:rFonts w:ascii="Arial Narrow" w:eastAsia="Arial Narrow" w:hAnsi="Arial Narrow" w:cs="Arial Narrow"/>
          <w:noProof/>
          <w:sz w:val="18"/>
          <w:szCs w:val="18"/>
        </w:rPr>
        <w:sectPr w:rsidSect="00B35876">
          <w:headerReference w:type="even" r:id="rId18"/>
          <w:headerReference w:type="default" r:id="rId19"/>
          <w:footerReference w:type="even" r:id="rId20"/>
          <w:footerReference w:type="default" r:id="rId21"/>
          <w:headerReference w:type="first" r:id="rId22"/>
          <w:footerReference w:type="first" r:id="rId23"/>
          <w:pgSz w:w="11906" w:h="16838"/>
          <w:pgMar w:top="1418" w:right="1134" w:bottom="851" w:left="1134" w:header="431" w:footer="431" w:gutter="0"/>
          <w:pgBorders w:zOrder="front" w:display="allPages" w:offsetFrom="text">
            <w:top w:val="nil"/>
            <w:left w:val="nil"/>
            <w:bottom w:val="nil"/>
            <w:right w:val="nil"/>
          </w:pgBorders>
          <w:cols w:num="1" w:sep="0" w:space="720" w:equalWidth="1"/>
          <w:vAlign w:val="top"/>
          <w:titlePg w:val="0"/>
          <w:rtlGutter w:val="0"/>
          <w:docGrid w:linePitch="360"/>
        </w:sectPr>
      </w:pPr>
      <w:r w:rsidRPr="002F66D3">
        <w:rPr>
          <w:rFonts w:ascii="Arial Narrow" w:eastAsia="Arial Narrow" w:hAnsi="Arial Narrow" w:cs="Arial Narrow"/>
          <w:noProof/>
          <w:sz w:val="18"/>
          <w:szCs w:val="18"/>
        </w:rPr>
        <w:tab/>
      </w:r>
    </w:p>
    <w:p w:rsidR="00D2441B" w:rsidP="00D574B6" w14:paraId="0A3FBCF3" w14:textId="77777777">
      <w:pPr>
        <w:spacing w:after="0"/>
        <w:jc w:val="both"/>
        <w:rPr>
          <w:rFonts w:ascii="Arial Narrow" w:eastAsia="Arial Narrow" w:hAnsi="Arial Narrow" w:cs="Arial Narrow"/>
          <w:noProof/>
          <w:sz w:val="18"/>
          <w:szCs w:val="18"/>
        </w:rPr>
      </w:pPr>
    </w:p>
    <w:p w:rsidR="002F66D3" w:rsidRPr="002F66D3" w:rsidP="002F66D3" w14:paraId="311FA6C3" w14:textId="77777777">
      <w:pPr>
        <w:spacing w:after="0"/>
        <w:jc w:val="center"/>
        <w:rPr>
          <w:rFonts w:ascii="Arial Narrow" w:eastAsia="Arial Narrow" w:hAnsi="Arial Narrow" w:cs="Arial Narrow"/>
          <w:b/>
          <w:bCs/>
          <w:noProof/>
          <w:sz w:val="18"/>
          <w:szCs w:val="18"/>
        </w:rPr>
      </w:pPr>
      <w:r w:rsidRPr="002F66D3">
        <w:rPr>
          <w:rFonts w:ascii="Arial Narrow" w:eastAsia="Arial Narrow" w:hAnsi="Arial Narrow" w:cs="Arial Narrow"/>
          <w:b/>
          <w:bCs/>
          <w:noProof/>
          <w:sz w:val="18"/>
          <w:szCs w:val="18"/>
        </w:rPr>
        <w:t>Vadības ziņojums (turpinājums)</w:t>
      </w:r>
    </w:p>
    <w:p w:rsidR="00D2441B" w:rsidP="002F66D3" w14:paraId="26CC4444" w14:textId="77777777">
      <w:pPr>
        <w:spacing w:after="0"/>
        <w:jc w:val="both"/>
        <w:rPr>
          <w:rFonts w:ascii="Arial Narrow" w:eastAsia="Arial Narrow" w:hAnsi="Arial Narrow" w:cs="Arial Narrow"/>
          <w:b/>
          <w:bCs/>
          <w:noProof/>
          <w:sz w:val="18"/>
          <w:szCs w:val="18"/>
        </w:rPr>
      </w:pPr>
    </w:p>
    <w:p w:rsidR="002F66D3" w:rsidRPr="002F66D3" w:rsidP="002F66D3" w14:paraId="7B948ADB" w14:textId="4A407B70">
      <w:pPr>
        <w:spacing w:after="0"/>
        <w:jc w:val="both"/>
        <w:rPr>
          <w:rFonts w:ascii="Arial Narrow" w:eastAsia="Arial Narrow" w:hAnsi="Arial Narrow" w:cs="Arial Narrow"/>
          <w:noProof/>
          <w:sz w:val="18"/>
          <w:szCs w:val="18"/>
        </w:rPr>
      </w:pPr>
      <w:r w:rsidRPr="002F66D3">
        <w:rPr>
          <w:rFonts w:ascii="Arial Narrow" w:eastAsia="Arial Narrow" w:hAnsi="Arial Narrow" w:cs="Arial Narrow"/>
          <w:b/>
          <w:bCs/>
          <w:noProof/>
          <w:sz w:val="18"/>
          <w:szCs w:val="18"/>
        </w:rPr>
        <w:t>Finanšu riski</w:t>
      </w:r>
      <w:r w:rsidRPr="002F66D3">
        <w:rPr>
          <w:rFonts w:ascii="Arial Narrow" w:eastAsia="Arial Narrow" w:hAnsi="Arial Narrow" w:cs="Arial Narrow"/>
          <w:b/>
          <w:bCs/>
          <w:noProof/>
          <w:sz w:val="18"/>
          <w:szCs w:val="18"/>
        </w:rPr>
        <w:tab/>
      </w:r>
      <w:r w:rsidRPr="002F66D3">
        <w:rPr>
          <w:rFonts w:ascii="Arial Narrow" w:eastAsia="Arial Narrow" w:hAnsi="Arial Narrow" w:cs="Arial Narrow"/>
          <w:noProof/>
          <w:sz w:val="18"/>
          <w:szCs w:val="18"/>
        </w:rPr>
        <w:tab/>
      </w:r>
    </w:p>
    <w:p w:rsidR="002F66D3" w:rsidRPr="002F66D3" w:rsidP="002F66D3" w14:paraId="0C9FE647"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p>
    <w:p w:rsidR="002F66D3" w:rsidP="002F66D3" w14:paraId="40BD16C7" w14:textId="6D51E8DD">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Galvenie finanšu riski, kas rodas no Koncerna finanšu instrumentiem, ir likviditātes risks un kredītrisks.</w:t>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p>
    <w:p w:rsidR="006678C3" w:rsidRPr="002F66D3" w:rsidP="00D574B6" w14:paraId="484905BE" w14:textId="5FB1BD6E">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Likviditātes risks</w:t>
      </w:r>
    </w:p>
    <w:p w:rsidR="006678C3" w:rsidRPr="002F66D3" w:rsidP="00D574B6" w14:paraId="346E1DF2" w14:textId="4DDCE711">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 xml:space="preserve">Likviditātes risku Koncerns </w:t>
      </w:r>
      <w:r w:rsidRPr="002F66D3">
        <w:rPr>
          <w:rFonts w:ascii="Arial Narrow" w:eastAsia="Arial Narrow" w:hAnsi="Arial Narrow" w:cs="Arial Narrow"/>
          <w:noProof/>
          <w:sz w:val="18"/>
          <w:szCs w:val="18"/>
        </w:rPr>
        <w:t>kontrolē, izmantojot P2P platformās piesaistīto finansējumu, kas nodrošina vadībai lielāku elastīgumu aizņēmumu un pieejamo naudas līdzekļu pārvaldīšanā. Papildus tam Koncerns emitē obligācijas un piesaista ārēju finansējumu.</w:t>
      </w:r>
    </w:p>
    <w:p w:rsidR="006678C3" w:rsidRPr="002F66D3" w:rsidP="00D574B6" w14:paraId="7F7F912C" w14:textId="77777777">
      <w:pPr>
        <w:spacing w:after="0"/>
        <w:jc w:val="both"/>
        <w:rPr>
          <w:rFonts w:ascii="Arial Narrow" w:eastAsia="Arial Narrow" w:hAnsi="Arial Narrow" w:cs="Arial Narrow"/>
          <w:noProof/>
          <w:sz w:val="18"/>
          <w:szCs w:val="18"/>
        </w:rPr>
      </w:pPr>
    </w:p>
    <w:p w:rsidR="006678C3" w:rsidRPr="002F66D3" w:rsidP="00D574B6" w14:paraId="5BF13108"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Kredītrisks</w:t>
      </w:r>
    </w:p>
    <w:p w:rsidR="006678C3" w:rsidRPr="002F66D3" w:rsidP="00D574B6" w14:paraId="4EF2D70C"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Koncerns ir pakļa</w:t>
      </w:r>
      <w:r w:rsidRPr="002F66D3">
        <w:rPr>
          <w:rFonts w:ascii="Arial Narrow" w:eastAsia="Arial Narrow" w:hAnsi="Arial Narrow" w:cs="Arial Narrow"/>
          <w:noProof/>
          <w:sz w:val="18"/>
          <w:szCs w:val="18"/>
        </w:rPr>
        <w:t>uts kredītriskam saistībā ar prasībām, kas izriet no finanšu nomas, kredītiem un izsniegtiem avansiem, debitoru parādiem un naudas un naudas ekvivalentiem.</w:t>
      </w:r>
    </w:p>
    <w:p w:rsidR="006678C3" w:rsidRPr="002F66D3" w:rsidP="00D574B6" w14:paraId="5530CAB7"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Galvenās kredītriska politikas jomas saistītas ar nomas līguma slēgšanas procesu (ieskaitot nomnieka</w:t>
      </w:r>
      <w:r w:rsidRPr="002F66D3">
        <w:rPr>
          <w:rFonts w:ascii="Arial Narrow" w:eastAsia="Arial Narrow" w:hAnsi="Arial Narrow" w:cs="Arial Narrow"/>
          <w:noProof/>
          <w:sz w:val="18"/>
          <w:szCs w:val="18"/>
        </w:rPr>
        <w:t xml:space="preserve"> maksātspējas pārbaudi), uzraudzības metodes, kā arī lēmumu pieņemšanas principiem. Lai būtiski samazinātu kredītrisku, Koncerns par ķīlu izmanto finansēto automašīnu.</w:t>
      </w:r>
    </w:p>
    <w:p w:rsidR="006678C3" w:rsidRPr="002F66D3" w:rsidP="00D574B6" w14:paraId="4BDDA2C6"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Koncerns darbojas, piemērojot skaidrus finanšu nomas un aizdevumu piešķiršanas kritēriju</w:t>
      </w:r>
      <w:r w:rsidRPr="002F66D3">
        <w:rPr>
          <w:rFonts w:ascii="Arial Narrow" w:eastAsia="Arial Narrow" w:hAnsi="Arial Narrow" w:cs="Arial Narrow"/>
          <w:noProof/>
          <w:sz w:val="18"/>
          <w:szCs w:val="18"/>
        </w:rPr>
        <w:t>s. Šie kritēriji ietver klienta kredītvēstures izvērtēšanu, līzinga un kredīta atmaksas veidu un izpratni par līzinga objektu. Koncerns, novērtējot klienta kredītspēju, ņem vērā gan kvantitatīvos, gan kvalitatīvos faktorus. Pamatojoties uz šo analīzi, Konc</w:t>
      </w:r>
      <w:r w:rsidRPr="002F66D3">
        <w:rPr>
          <w:rFonts w:ascii="Arial Narrow" w:eastAsia="Arial Narrow" w:hAnsi="Arial Narrow" w:cs="Arial Narrow"/>
          <w:noProof/>
          <w:sz w:val="18"/>
          <w:szCs w:val="18"/>
        </w:rPr>
        <w:t>erns nosaka kredītlimitu katram klientam.</w:t>
      </w:r>
    </w:p>
    <w:p w:rsidR="006678C3" w:rsidRPr="002F66D3" w:rsidP="00D574B6" w14:paraId="10BA6D09"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Kad nomas līgums ir noslēgts, Koncerns uzrauga nomas objektu un klienta maksātspēju. Koncerns ir izstrādājis nomas uzraudzības procesu, kas palīdz ātri pamanīt iespējamo līguma noteikumu neievērošanu. Debitoru parā</w:t>
      </w:r>
      <w:r w:rsidRPr="002F66D3">
        <w:rPr>
          <w:rFonts w:ascii="Arial Narrow" w:eastAsia="Arial Narrow" w:hAnsi="Arial Narrow" w:cs="Arial Narrow"/>
          <w:noProof/>
          <w:sz w:val="18"/>
          <w:szCs w:val="18"/>
        </w:rPr>
        <w:t>du atlikumi tiek pastāvīgi uzraudzīti, lai nodrošinātu, ka Koncerna pakļautība bezcerīgajiem parādiem tiek samazināta līdz minimumam, un, ja nepieciešams, tiek veidoti pietiekami uzkrājumi.</w:t>
      </w:r>
    </w:p>
    <w:p w:rsidR="006678C3" w:rsidRPr="002F66D3" w:rsidP="00D574B6" w14:paraId="5AF5A359" w14:textId="77777777">
      <w:pPr>
        <w:spacing w:after="0"/>
        <w:jc w:val="both"/>
        <w:rPr>
          <w:rFonts w:ascii="Arial Narrow" w:eastAsia="Arial Narrow" w:hAnsi="Arial Narrow" w:cs="Arial Narrow"/>
          <w:noProof/>
          <w:sz w:val="18"/>
          <w:szCs w:val="18"/>
        </w:rPr>
      </w:pPr>
    </w:p>
    <w:p w:rsidR="00A300AE" w:rsidRPr="002F66D3" w:rsidP="00D574B6" w14:paraId="1C820AFA"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Koncernam nav būtisku kredītrisku kādam atsevišķam darījuma partn</w:t>
      </w:r>
      <w:r w:rsidRPr="002F66D3">
        <w:rPr>
          <w:rFonts w:ascii="Arial Narrow" w:eastAsia="Arial Narrow" w:hAnsi="Arial Narrow" w:cs="Arial Narrow"/>
          <w:noProof/>
          <w:sz w:val="18"/>
          <w:szCs w:val="18"/>
        </w:rPr>
        <w:t>erim, bet tas ir pakļauts riskiem darījumu partneru grupai ar līdzīgām iezīmēm.</w:t>
      </w:r>
    </w:p>
    <w:p w:rsidR="006678C3" w:rsidRPr="002F66D3" w:rsidP="00D574B6" w14:paraId="63D58CD2" w14:textId="43EBE94B">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Plašāka informācija sniegta 40. piezīmē.</w:t>
      </w:r>
    </w:p>
    <w:p w:rsidR="002A24B4" w:rsidRPr="002F66D3" w:rsidP="00D574B6" w14:paraId="25E94F23"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p>
    <w:p w:rsidR="002A24B4" w:rsidRPr="002F66D3" w:rsidP="00D574B6" w14:paraId="028DCAA9" w14:textId="59567496">
      <w:pPr>
        <w:spacing w:after="0"/>
        <w:jc w:val="both"/>
        <w:rPr>
          <w:rFonts w:ascii="Arial Narrow" w:eastAsia="Arial Narrow" w:hAnsi="Arial Narrow" w:cs="Arial Narrow"/>
          <w:b/>
          <w:bCs/>
          <w:noProof/>
          <w:sz w:val="18"/>
          <w:szCs w:val="18"/>
        </w:rPr>
      </w:pPr>
      <w:r w:rsidRPr="002F66D3">
        <w:rPr>
          <w:rFonts w:ascii="Arial Narrow" w:eastAsia="Arial Narrow" w:hAnsi="Arial Narrow" w:cs="Arial Narrow"/>
          <w:b/>
          <w:bCs/>
          <w:noProof/>
          <w:sz w:val="18"/>
          <w:szCs w:val="18"/>
        </w:rPr>
        <w:t>Koncerna turpmāka attīstība</w:t>
      </w:r>
    </w:p>
    <w:p w:rsidR="00715BA7" w:rsidRPr="002F66D3" w:rsidP="00D574B6" w14:paraId="64C38046" w14:textId="77777777">
      <w:pPr>
        <w:spacing w:after="0"/>
        <w:jc w:val="both"/>
        <w:rPr>
          <w:rFonts w:ascii="Arial Narrow" w:eastAsia="Arial Narrow" w:hAnsi="Arial Narrow" w:cs="Arial Narrow"/>
          <w:b/>
          <w:bCs/>
          <w:noProof/>
          <w:sz w:val="18"/>
          <w:szCs w:val="18"/>
        </w:rPr>
      </w:pPr>
    </w:p>
    <w:p w:rsidR="00A300AE" w:rsidRPr="002F66D3" w:rsidP="00D574B6" w14:paraId="47AE408C"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 xml:space="preserve">Koncerna vadība plāno turpināt ieguldīt procesu automatizācijā un digitalizācijā, veidojot ērtu </w:t>
      </w:r>
      <w:r w:rsidRPr="002F66D3">
        <w:rPr>
          <w:rFonts w:ascii="Arial Narrow" w:eastAsia="Arial Narrow" w:hAnsi="Arial Narrow" w:cs="Arial Narrow"/>
          <w:noProof/>
          <w:sz w:val="18"/>
          <w:szCs w:val="18"/>
        </w:rPr>
        <w:t>un patīkamu klientu digitālo pieredzi. Svarīgākās darbības jomas 2022. gadā būs jaunizveidotā nomas abonēšanas produkta “Renti+” attīstīšana, kā arī kredītportfeļa kvalitātes nodrošināšana un klientu pieredzes uzlabošana Koncerna piedāvātajiem produktiem u</w:t>
      </w:r>
      <w:r w:rsidRPr="002F66D3">
        <w:rPr>
          <w:rFonts w:ascii="Arial Narrow" w:eastAsia="Arial Narrow" w:hAnsi="Arial Narrow" w:cs="Arial Narrow"/>
          <w:noProof/>
          <w:sz w:val="18"/>
          <w:szCs w:val="18"/>
        </w:rPr>
        <w:t>n sniedzot pakalpojumus radniecīgām sabiedrībām.</w:t>
      </w:r>
      <w:r w:rsidRPr="002F66D3" w:rsidR="006678C3">
        <w:rPr>
          <w:rFonts w:ascii="Arial Narrow" w:eastAsia="Arial Narrow" w:hAnsi="Arial Narrow" w:cs="Arial Narrow"/>
          <w:noProof/>
          <w:sz w:val="18"/>
          <w:szCs w:val="18"/>
        </w:rPr>
        <w:tab/>
      </w:r>
      <w:r w:rsidRPr="002F66D3" w:rsidR="006678C3">
        <w:rPr>
          <w:rFonts w:ascii="Arial Narrow" w:eastAsia="Arial Narrow" w:hAnsi="Arial Narrow" w:cs="Arial Narrow"/>
          <w:noProof/>
          <w:sz w:val="18"/>
          <w:szCs w:val="18"/>
        </w:rPr>
        <w:tab/>
      </w:r>
    </w:p>
    <w:p w:rsidR="00A300AE" w:rsidRPr="002F66D3" w:rsidP="00D574B6" w14:paraId="46B6101F" w14:textId="77777777">
      <w:pPr>
        <w:spacing w:after="0"/>
        <w:jc w:val="both"/>
        <w:rPr>
          <w:rFonts w:ascii="Arial Narrow" w:eastAsia="Arial Narrow" w:hAnsi="Arial Narrow" w:cs="Arial Narrow"/>
          <w:noProof/>
          <w:sz w:val="18"/>
          <w:szCs w:val="18"/>
        </w:rPr>
      </w:pPr>
    </w:p>
    <w:p w:rsidR="00A300AE" w:rsidRPr="002F66D3" w:rsidP="00D574B6" w14:paraId="14BA693E" w14:textId="77777777">
      <w:pPr>
        <w:spacing w:after="0"/>
        <w:jc w:val="both"/>
        <w:rPr>
          <w:rFonts w:ascii="Arial Narrow" w:eastAsia="Arial Narrow" w:hAnsi="Arial Narrow" w:cs="Arial Narrow"/>
          <w:b/>
          <w:bCs/>
          <w:noProof/>
          <w:sz w:val="18"/>
          <w:szCs w:val="18"/>
        </w:rPr>
      </w:pPr>
      <w:r w:rsidRPr="002F66D3">
        <w:rPr>
          <w:rFonts w:ascii="Arial Narrow" w:eastAsia="Arial Narrow" w:hAnsi="Arial Narrow" w:cs="Arial Narrow"/>
          <w:b/>
          <w:bCs/>
          <w:noProof/>
          <w:sz w:val="18"/>
          <w:szCs w:val="18"/>
        </w:rPr>
        <w:t>Finanšu risku vadība</w:t>
      </w:r>
    </w:p>
    <w:p w:rsidR="002A24B4" w:rsidRPr="002F66D3" w:rsidP="00D574B6" w14:paraId="1E4796D0" w14:textId="1DB958E8">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Galvenie finanšu riska vadības principi ir aprakstīti 40. piezīmē.</w:t>
      </w:r>
      <w:r w:rsidRPr="002F66D3" w:rsidR="006678C3">
        <w:rPr>
          <w:rFonts w:ascii="Arial Narrow" w:eastAsia="Arial Narrow" w:hAnsi="Arial Narrow" w:cs="Arial Narrow"/>
          <w:noProof/>
          <w:sz w:val="18"/>
          <w:szCs w:val="18"/>
        </w:rPr>
        <w:tab/>
      </w:r>
      <w:r w:rsidRPr="002F66D3" w:rsidR="006678C3">
        <w:rPr>
          <w:rFonts w:ascii="Arial Narrow" w:eastAsia="Arial Narrow" w:hAnsi="Arial Narrow" w:cs="Arial Narrow"/>
          <w:noProof/>
          <w:sz w:val="18"/>
          <w:szCs w:val="18"/>
        </w:rPr>
        <w:tab/>
      </w:r>
      <w:r w:rsidRPr="002F66D3" w:rsidR="006678C3">
        <w:rPr>
          <w:rFonts w:ascii="Arial Narrow" w:eastAsia="Arial Narrow" w:hAnsi="Arial Narrow" w:cs="Arial Narrow"/>
          <w:noProof/>
          <w:sz w:val="18"/>
          <w:szCs w:val="18"/>
        </w:rPr>
        <w:tab/>
      </w:r>
      <w:r w:rsidRPr="002F66D3" w:rsidR="006678C3">
        <w:rPr>
          <w:rFonts w:ascii="Arial Narrow" w:eastAsia="Arial Narrow" w:hAnsi="Arial Narrow" w:cs="Arial Narrow"/>
          <w:noProof/>
          <w:sz w:val="18"/>
          <w:szCs w:val="18"/>
        </w:rPr>
        <w:tab/>
      </w:r>
    </w:p>
    <w:p w:rsidR="002A24B4" w:rsidRPr="002F66D3" w:rsidP="002A24B4" w14:paraId="406D0C54" w14:textId="77777777">
      <w:pPr>
        <w:spacing w:after="0"/>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p>
    <w:p w:rsidR="002A24B4" w:rsidRPr="002F66D3" w:rsidP="00744857" w14:paraId="327EBFC5" w14:textId="77777777">
      <w:pPr>
        <w:spacing w:after="0"/>
        <w:jc w:val="both"/>
        <w:rPr>
          <w:rFonts w:ascii="Arial Narrow" w:eastAsia="Arial Narrow" w:hAnsi="Arial Narrow" w:cs="Arial Narrow"/>
          <w:b/>
          <w:bCs/>
          <w:noProof/>
          <w:sz w:val="18"/>
          <w:szCs w:val="18"/>
        </w:rPr>
      </w:pPr>
      <w:r w:rsidRPr="002F66D3">
        <w:rPr>
          <w:rFonts w:ascii="Arial Narrow" w:eastAsia="Arial Narrow" w:hAnsi="Arial Narrow" w:cs="Arial Narrow"/>
          <w:b/>
          <w:bCs/>
          <w:noProof/>
          <w:sz w:val="18"/>
          <w:szCs w:val="18"/>
        </w:rPr>
        <w:t>Covid-19 ietekmes izvērtējums</w:t>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r w:rsidRPr="002F66D3">
        <w:rPr>
          <w:rFonts w:ascii="Arial Narrow" w:eastAsia="Arial Narrow" w:hAnsi="Arial Narrow" w:cs="Arial Narrow"/>
          <w:b/>
          <w:bCs/>
          <w:noProof/>
          <w:sz w:val="18"/>
          <w:szCs w:val="18"/>
        </w:rPr>
        <w:tab/>
      </w:r>
    </w:p>
    <w:p w:rsidR="002A24B4" w:rsidRPr="002F66D3" w:rsidP="00744857" w14:paraId="438FA675"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p>
    <w:p w:rsidR="008D0F63" w:rsidRPr="002F66D3" w:rsidP="00744857" w14:paraId="231E1D0C"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 xml:space="preserve">Covid-19 turpināja ietekmēt lietotu </w:t>
      </w:r>
      <w:r w:rsidRPr="002F66D3">
        <w:rPr>
          <w:rFonts w:ascii="Arial Narrow" w:eastAsia="Arial Narrow" w:hAnsi="Arial Narrow" w:cs="Arial Narrow"/>
          <w:noProof/>
          <w:sz w:val="18"/>
          <w:szCs w:val="18"/>
        </w:rPr>
        <w:t>automašīnu pārdošanas tirgu, izraisot lielu pārdošanas apjomu svārstīgumu no mēneša uz mēnesi. Kopējais 2021. gada lietoto automašīnu pārdošanas apjoms ir pārsniedzis 2020. gadu. Koncerns ir ieviesis risinājumus klientiem, lai pārvarētu īstermiņa finansiāl</w:t>
      </w:r>
      <w:r w:rsidRPr="002F66D3">
        <w:rPr>
          <w:rFonts w:ascii="Arial Narrow" w:eastAsia="Arial Narrow" w:hAnsi="Arial Narrow" w:cs="Arial Narrow"/>
          <w:noProof/>
          <w:sz w:val="18"/>
          <w:szCs w:val="18"/>
        </w:rPr>
        <w:t>ās grūtības. Turklāt ir īstenoti izmaksu disciplīnas pasākumi. Debitoru summas nav palielinājušās, savukārt kopējais portfelis ir samazinājies portfeļa cesijas dēļ.</w:t>
      </w:r>
    </w:p>
    <w:p w:rsidR="008D0F63" w:rsidRPr="002F66D3" w:rsidP="00744857" w14:paraId="554D2216" w14:textId="77777777">
      <w:pPr>
        <w:spacing w:after="0"/>
        <w:jc w:val="both"/>
        <w:rPr>
          <w:rFonts w:ascii="Arial Narrow" w:eastAsia="Arial Narrow" w:hAnsi="Arial Narrow" w:cs="Arial Narrow"/>
          <w:noProof/>
          <w:sz w:val="18"/>
          <w:szCs w:val="18"/>
        </w:rPr>
      </w:pPr>
    </w:p>
    <w:p w:rsidR="008D0F63" w:rsidRPr="002F66D3" w:rsidP="00744857" w14:paraId="0B217FD6"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Paredzams, ka 2022.gada laikā lietoto automašīnu tirdzniecības tirgus pieaugs, kā arī klie</w:t>
      </w:r>
      <w:r w:rsidRPr="002F66D3">
        <w:rPr>
          <w:rFonts w:ascii="Arial Narrow" w:eastAsia="Arial Narrow" w:hAnsi="Arial Narrow" w:cs="Arial Narrow"/>
          <w:noProof/>
          <w:sz w:val="18"/>
          <w:szCs w:val="18"/>
        </w:rPr>
        <w:t>ntu parādu apkalpošanas iespējas būs stabilas un uzlabosies.</w:t>
      </w:r>
    </w:p>
    <w:p w:rsidR="008D0F63" w:rsidRPr="002F66D3" w:rsidP="00744857" w14:paraId="1F31E00E" w14:textId="77777777">
      <w:pPr>
        <w:spacing w:after="0"/>
        <w:jc w:val="both"/>
        <w:rPr>
          <w:rFonts w:ascii="Arial Narrow" w:eastAsia="Arial Narrow" w:hAnsi="Arial Narrow" w:cs="Arial Narrow"/>
          <w:noProof/>
          <w:sz w:val="18"/>
          <w:szCs w:val="18"/>
        </w:rPr>
      </w:pPr>
    </w:p>
    <w:p w:rsidR="008D0F63" w:rsidRPr="002F66D3" w:rsidP="00744857" w14:paraId="576D2C1C"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Rūpēs par Koncerna darbinieku un klientu drošību, pakalpojumi tiek sniegti attālināti izņemot filiāli, kas atrodas AS Ceļu satiksmes drošības direkcija Rīgā. Automašīnu pārdošana tiek īstenota s</w:t>
      </w:r>
      <w:r w:rsidRPr="002F66D3">
        <w:rPr>
          <w:rFonts w:ascii="Arial Narrow" w:eastAsia="Arial Narrow" w:hAnsi="Arial Narrow" w:cs="Arial Narrow"/>
          <w:noProof/>
          <w:sz w:val="18"/>
          <w:szCs w:val="18"/>
        </w:rPr>
        <w:t>adarbības partneru pārdošanas vietās. Koncerns ir izpildījis visus obligātos un ieteiktos drošības pasākumus un nodrošinājis, ka darbinieki var strādāt no mājām.</w:t>
      </w:r>
    </w:p>
    <w:p w:rsidR="008D0F63" w:rsidRPr="002F66D3" w:rsidP="00744857" w14:paraId="124222C3" w14:textId="77777777">
      <w:pPr>
        <w:spacing w:after="0"/>
        <w:jc w:val="both"/>
        <w:rPr>
          <w:rFonts w:ascii="Arial Narrow" w:eastAsia="Arial Narrow" w:hAnsi="Arial Narrow" w:cs="Arial Narrow"/>
          <w:noProof/>
          <w:sz w:val="18"/>
          <w:szCs w:val="18"/>
        </w:rPr>
      </w:pPr>
    </w:p>
    <w:p w:rsidR="00D27778" w:rsidP="00744857" w14:paraId="60826955"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 xml:space="preserve">Koncerns ir veiksmīgi izturējis visus Covid-19 viļņus, un tas </w:t>
      </w:r>
      <w:r w:rsidRPr="002F66D3">
        <w:rPr>
          <w:rFonts w:ascii="Arial Narrow" w:eastAsia="Arial Narrow" w:hAnsi="Arial Narrow" w:cs="Arial Narrow"/>
          <w:noProof/>
          <w:sz w:val="18"/>
          <w:szCs w:val="18"/>
        </w:rPr>
        <w:t>veiksmīgi ieiet 2022. gadā gan no darbības viedokļa, gan no nākotnes finansējuma pieejamības viedokļa</w:t>
      </w:r>
      <w:r w:rsidRPr="002F66D3">
        <w:rPr>
          <w:rFonts w:ascii="Arial Narrow" w:eastAsia="Arial Narrow" w:hAnsi="Arial Narrow" w:cs="Arial Narrow"/>
          <w:noProof/>
          <w:sz w:val="18"/>
          <w:szCs w:val="18"/>
        </w:rPr>
        <w:t>.</w:t>
      </w:r>
    </w:p>
    <w:p w:rsidR="00D27778" w:rsidP="00744857" w14:paraId="285E8874" w14:textId="77777777">
      <w:pPr>
        <w:spacing w:after="0"/>
        <w:jc w:val="both"/>
        <w:rPr>
          <w:rFonts w:ascii="Arial Narrow" w:eastAsia="Arial Narrow" w:hAnsi="Arial Narrow" w:cs="Arial Narrow"/>
          <w:noProof/>
          <w:sz w:val="18"/>
          <w:szCs w:val="18"/>
        </w:rPr>
      </w:pPr>
    </w:p>
    <w:p w:rsidR="00D27778" w:rsidP="00744857" w14:paraId="667BA206" w14:textId="060FD4AC">
      <w:pPr>
        <w:spacing w:after="0"/>
        <w:jc w:val="both"/>
        <w:rPr>
          <w:rFonts w:ascii="Arial Narrow" w:eastAsia="Arial Narrow" w:hAnsi="Arial Narrow" w:cs="Arial Narrow"/>
          <w:noProof/>
          <w:sz w:val="18"/>
          <w:szCs w:val="18"/>
        </w:rPr>
        <w:sectPr w:rsidSect="00B35876">
          <w:headerReference w:type="even" r:id="rId24"/>
          <w:headerReference w:type="default" r:id="rId25"/>
          <w:footerReference w:type="even" r:id="rId26"/>
          <w:footerReference w:type="default" r:id="rId27"/>
          <w:headerReference w:type="first" r:id="rId28"/>
          <w:footerReference w:type="first" r:id="rId29"/>
          <w:pgSz w:w="11906" w:h="16838"/>
          <w:pgMar w:top="1418" w:right="1134" w:bottom="851" w:left="1134" w:header="431" w:footer="431" w:gutter="0"/>
          <w:pgBorders w:zOrder="front" w:display="allPages" w:offsetFrom="text">
            <w:top w:val="nil"/>
            <w:left w:val="nil"/>
            <w:bottom w:val="nil"/>
            <w:right w:val="nil"/>
          </w:pgBorders>
          <w:cols w:num="1" w:sep="0" w:space="720" w:equalWidth="1"/>
          <w:vAlign w:val="top"/>
          <w:titlePg w:val="0"/>
          <w:rtlGutter w:val="0"/>
          <w:docGrid w:linePitch="360"/>
        </w:sectPr>
      </w:pPr>
    </w:p>
    <w:p w:rsidR="002F66D3" w:rsidRPr="002F66D3" w:rsidP="00D27778" w14:paraId="31475465" w14:textId="77777777">
      <w:pPr>
        <w:spacing w:after="0"/>
        <w:jc w:val="center"/>
        <w:rPr>
          <w:rFonts w:ascii="Arial Narrow" w:eastAsia="Arial Narrow" w:hAnsi="Arial Narrow" w:cs="Arial Narrow"/>
          <w:b/>
          <w:bCs/>
          <w:noProof/>
          <w:sz w:val="18"/>
          <w:szCs w:val="18"/>
        </w:rPr>
      </w:pPr>
      <w:r w:rsidRPr="002F66D3">
        <w:rPr>
          <w:rFonts w:ascii="Arial Narrow" w:eastAsia="Arial Narrow" w:hAnsi="Arial Narrow" w:cs="Arial Narrow"/>
          <w:b/>
          <w:bCs/>
          <w:noProof/>
          <w:sz w:val="18"/>
          <w:szCs w:val="18"/>
        </w:rPr>
        <w:t>Vadības ziņojums (turpinājums)</w:t>
      </w:r>
    </w:p>
    <w:p w:rsidR="002A24B4" w:rsidRPr="002F66D3" w:rsidP="00744857" w14:paraId="199328A3" w14:textId="0E3C5E99">
      <w:pPr>
        <w:spacing w:after="0"/>
        <w:jc w:val="both"/>
        <w:rPr>
          <w:rFonts w:ascii="Arial Narrow" w:eastAsia="Arial Narrow" w:hAnsi="Arial Narrow" w:cs="Arial Narrow"/>
          <w:noProof/>
          <w:sz w:val="18"/>
          <w:szCs w:val="18"/>
        </w:rPr>
      </w:pPr>
    </w:p>
    <w:p w:rsidR="002A24B4" w:rsidRPr="002F66D3" w:rsidP="00744857" w14:paraId="3D8AC35E"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p>
    <w:p w:rsidR="00F36290" w:rsidRPr="002F66D3" w:rsidP="00744857" w14:paraId="678A45EB" w14:textId="77777777">
      <w:pPr>
        <w:spacing w:after="0"/>
        <w:jc w:val="both"/>
        <w:rPr>
          <w:rFonts w:ascii="Arial Narrow" w:eastAsia="Arial Narrow" w:hAnsi="Arial Narrow" w:cs="Arial Narrow"/>
          <w:b/>
          <w:bCs/>
          <w:noProof/>
          <w:sz w:val="18"/>
          <w:szCs w:val="18"/>
        </w:rPr>
      </w:pPr>
      <w:r w:rsidRPr="002F66D3">
        <w:rPr>
          <w:rFonts w:ascii="Arial Narrow" w:eastAsia="Arial Narrow" w:hAnsi="Arial Narrow" w:cs="Arial Narrow"/>
          <w:b/>
          <w:bCs/>
          <w:noProof/>
          <w:sz w:val="18"/>
          <w:szCs w:val="18"/>
        </w:rPr>
        <w:t>Notikumi pēc bilances datuma</w:t>
      </w:r>
    </w:p>
    <w:p w:rsidR="002A24B4" w:rsidRPr="002F66D3" w:rsidP="00744857" w14:paraId="0F75B1F0" w14:textId="62D38460">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r w:rsidRPr="002F66D3">
        <w:rPr>
          <w:rFonts w:ascii="Arial Narrow" w:eastAsia="Arial Narrow" w:hAnsi="Arial Narrow" w:cs="Arial Narrow"/>
          <w:noProof/>
          <w:sz w:val="18"/>
          <w:szCs w:val="18"/>
        </w:rPr>
        <w:tab/>
      </w:r>
    </w:p>
    <w:p w:rsidR="00536301" w:rsidP="00744857" w14:paraId="413DC5D2" w14:textId="26952200">
      <w:pPr>
        <w:spacing w:after="0"/>
        <w:jc w:val="both"/>
        <w:rPr>
          <w:rFonts w:ascii="Arial Narrow" w:eastAsia="Arial Narrow" w:hAnsi="Arial Narrow" w:cs="Arial Narrow"/>
          <w:noProof/>
          <w:sz w:val="18"/>
          <w:szCs w:val="18"/>
        </w:rPr>
      </w:pPr>
      <w:r w:rsidRPr="00DF6F47">
        <w:rPr>
          <w:rFonts w:ascii="Arial Narrow" w:eastAsia="Arial Narrow" w:hAnsi="Arial Narrow" w:cs="Arial Narrow"/>
          <w:noProof/>
          <w:sz w:val="18"/>
          <w:szCs w:val="18"/>
        </w:rPr>
        <w:t xml:space="preserve">2022. gadā Eiropas Savienība un dažādas valstis ir noteikušas daudzas nozīmīgas sankcijas pret Krieviju un Baltkrieviju, atsevišķiem Krievijas un Baltkrievijas uzņēmumiem, kompānijām citās jurisdikcijās, amatpersonām, uzņēmējiem un citām fiziskām personām </w:t>
      </w:r>
      <w:r w:rsidRPr="00DF6F47">
        <w:rPr>
          <w:rFonts w:ascii="Arial Narrow" w:eastAsia="Arial Narrow" w:hAnsi="Arial Narrow" w:cs="Arial Narrow"/>
          <w:noProof/>
          <w:sz w:val="18"/>
          <w:szCs w:val="18"/>
        </w:rPr>
        <w:t xml:space="preserve">saistībā ar Ukrainā notiekošo karu, kas sākās plkst. 2022. gada 24. februāris. Noteiktās sankcijas un ierobežojumi un militārās darbības rada ekonomisko nenoteiktību pasaulē un Latvijā. Kaut noteikto sankciju un ierobežojumu un militāro darbību ietekmi uz </w:t>
      </w:r>
      <w:r w:rsidRPr="00DF6F47">
        <w:rPr>
          <w:rFonts w:ascii="Arial Narrow" w:eastAsia="Arial Narrow" w:hAnsi="Arial Narrow" w:cs="Arial Narrow"/>
          <w:noProof/>
          <w:sz w:val="18"/>
          <w:szCs w:val="18"/>
        </w:rPr>
        <w:t>Sabiedrības darbību 2022.gadā nav iespējams pilnībāaplēst, Koncerns uzskata, ka pēc finanšu pārskata datuma noteiktās sankcijas un ierobežojumi un militārās darbības būtiski neietekmēs Koncerna darbību gan tieši un netieši. Koncerna pieņēmums ir balstīts u</w:t>
      </w:r>
      <w:r w:rsidRPr="00DF6F47">
        <w:rPr>
          <w:rFonts w:ascii="Arial Narrow" w:eastAsia="Arial Narrow" w:hAnsi="Arial Narrow" w:cs="Arial Narrow"/>
          <w:noProof/>
          <w:sz w:val="18"/>
          <w:szCs w:val="18"/>
        </w:rPr>
        <w:t>z finanšu pārskatu parakstīšanas brīdī pieejamo informāciju, un nākotnes notikumu ietekme uz Koncerna turpmāko darbību var atšķirties no Koncerna novērtējuma.</w:t>
      </w:r>
    </w:p>
    <w:p w:rsidR="00DF6F47" w:rsidRPr="002F66D3" w:rsidP="00744857" w14:paraId="4246223B" w14:textId="77777777">
      <w:pPr>
        <w:spacing w:after="0"/>
        <w:jc w:val="both"/>
        <w:rPr>
          <w:rFonts w:ascii="Arial Narrow" w:eastAsia="Arial Narrow" w:hAnsi="Arial Narrow" w:cs="Arial Narrow"/>
          <w:noProof/>
          <w:sz w:val="18"/>
          <w:szCs w:val="18"/>
        </w:rPr>
      </w:pPr>
    </w:p>
    <w:p w:rsidR="008D0F63" w:rsidRPr="002F66D3" w:rsidP="00744857" w14:paraId="1B357DA6"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Koncerna korporatīvās pārvaldības ziņojums par 2021.gadu ir sagatavots saskaņā ar Finanšu instru</w:t>
      </w:r>
      <w:r w:rsidRPr="002F66D3">
        <w:rPr>
          <w:rFonts w:ascii="Arial Narrow" w:eastAsia="Arial Narrow" w:hAnsi="Arial Narrow" w:cs="Arial Narrow"/>
          <w:noProof/>
          <w:sz w:val="18"/>
          <w:szCs w:val="18"/>
        </w:rPr>
        <w:t>mentu tirgus likuma 56.2.panta 3.daļas prasībām un ir publiski pieejams elektroniski Nasdaq Baltic mājaslapā www.nasdaqbaltic.com.</w:t>
      </w:r>
    </w:p>
    <w:p w:rsidR="008D0F63" w:rsidRPr="002F66D3" w:rsidP="00744857" w14:paraId="6E2204CC" w14:textId="77777777">
      <w:pPr>
        <w:spacing w:after="0"/>
        <w:jc w:val="both"/>
        <w:rPr>
          <w:rFonts w:ascii="Arial Narrow" w:eastAsia="Arial Narrow" w:hAnsi="Arial Narrow" w:cs="Arial Narrow"/>
          <w:noProof/>
          <w:sz w:val="18"/>
          <w:szCs w:val="18"/>
        </w:rPr>
      </w:pPr>
    </w:p>
    <w:p w:rsidR="008D0F63" w:rsidRPr="002F66D3" w:rsidP="00744857" w14:paraId="2A1EE87E"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Mātes uzņēmuma akcionārs 2021. gadā ir mainījies no Eleving Group uz Eleving Stella AS. Jaunais akcionārs 2021. gada decembr</w:t>
      </w:r>
      <w:r w:rsidRPr="002F66D3">
        <w:rPr>
          <w:rFonts w:ascii="Arial Narrow" w:eastAsia="Arial Narrow" w:hAnsi="Arial Narrow" w:cs="Arial Narrow"/>
          <w:noProof/>
          <w:sz w:val="18"/>
          <w:szCs w:val="18"/>
        </w:rPr>
        <w:t>ī ir samazinājis mātes uzņēmuma pamatkapitālu.</w:t>
      </w:r>
    </w:p>
    <w:p w:rsidR="008D0F63" w:rsidRPr="002F66D3" w:rsidP="00744857" w14:paraId="7EC9F047" w14:textId="77777777">
      <w:pPr>
        <w:spacing w:after="0"/>
        <w:jc w:val="both"/>
        <w:rPr>
          <w:rFonts w:ascii="Arial Narrow" w:eastAsia="Arial Narrow" w:hAnsi="Arial Narrow" w:cs="Arial Narrow"/>
          <w:noProof/>
          <w:sz w:val="18"/>
          <w:szCs w:val="18"/>
        </w:rPr>
      </w:pPr>
    </w:p>
    <w:p w:rsidR="008D0F63" w:rsidP="00744857" w14:paraId="2413D113" w14:textId="58D32DCD">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Sabiedrības pamatkapitāls ir EUR 425 000 un sastāv no 425 000 akcijām. Vienas akcijas nominālvērtība ir 1 EUR. Visas akcijas ir pilnībā apmaksātas.</w:t>
      </w:r>
    </w:p>
    <w:p w:rsidR="00587346" w:rsidRPr="002F66D3" w:rsidP="00744857" w14:paraId="3890FC52" w14:textId="77777777">
      <w:pPr>
        <w:spacing w:after="0"/>
        <w:jc w:val="both"/>
        <w:rPr>
          <w:rFonts w:ascii="Arial Narrow" w:eastAsia="Arial Narrow" w:hAnsi="Arial Narrow" w:cs="Arial Narrow"/>
          <w:noProof/>
          <w:sz w:val="18"/>
          <w:szCs w:val="18"/>
        </w:rPr>
      </w:pPr>
    </w:p>
    <w:p w:rsidR="008D0F63" w:rsidRPr="002F66D3" w:rsidP="00744857" w14:paraId="2748945B" w14:textId="77777777">
      <w:pPr>
        <w:spacing w:after="0"/>
        <w:jc w:val="both"/>
        <w:rPr>
          <w:rFonts w:ascii="Arial Narrow" w:eastAsia="Arial Narrow" w:hAnsi="Arial Narrow" w:cs="Arial Narrow"/>
          <w:noProof/>
          <w:sz w:val="18"/>
          <w:szCs w:val="18"/>
        </w:rPr>
      </w:pPr>
    </w:p>
    <w:p w:rsidR="008D0F63" w:rsidRPr="002F66D3" w:rsidP="00744857" w14:paraId="2670215B" w14:textId="098BF218">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 xml:space="preserve">Koncerna vārdā 2022. gada </w:t>
      </w:r>
      <w:r>
        <w:rPr>
          <w:rFonts w:ascii="Arial Narrow" w:eastAsia="Arial Narrow" w:hAnsi="Arial Narrow" w:cs="Arial Narrow"/>
          <w:noProof/>
          <w:sz w:val="18"/>
          <w:szCs w:val="18"/>
        </w:rPr>
        <w:t>30</w:t>
      </w:r>
      <w:r w:rsidRPr="002F66D3">
        <w:rPr>
          <w:rFonts w:ascii="Arial Narrow" w:eastAsia="Arial Narrow" w:hAnsi="Arial Narrow" w:cs="Arial Narrow"/>
          <w:noProof/>
          <w:sz w:val="18"/>
          <w:szCs w:val="18"/>
        </w:rPr>
        <w:t xml:space="preserve">. aprīlī konsolidētos </w:t>
      </w:r>
      <w:r w:rsidRPr="002F66D3">
        <w:rPr>
          <w:rFonts w:ascii="Arial Narrow" w:eastAsia="Arial Narrow" w:hAnsi="Arial Narrow" w:cs="Arial Narrow"/>
          <w:noProof/>
          <w:sz w:val="18"/>
          <w:szCs w:val="18"/>
        </w:rPr>
        <w:t>finanšu pārskatus ir parakstījuši:</w:t>
      </w:r>
    </w:p>
    <w:p w:rsidR="008D0F63" w:rsidRPr="002F66D3" w:rsidP="00744857" w14:paraId="36BC5FAC" w14:textId="77777777">
      <w:pPr>
        <w:spacing w:after="0"/>
        <w:jc w:val="both"/>
        <w:rPr>
          <w:rFonts w:ascii="Arial Narrow" w:eastAsia="Arial Narrow" w:hAnsi="Arial Narrow" w:cs="Arial Narrow"/>
          <w:noProof/>
          <w:sz w:val="18"/>
          <w:szCs w:val="18"/>
        </w:rPr>
      </w:pPr>
    </w:p>
    <w:p w:rsidR="008D0F63" w:rsidRPr="002F66D3" w:rsidP="00744857" w14:paraId="73AF2B7D" w14:textId="77777777">
      <w:pPr>
        <w:spacing w:after="0"/>
        <w:jc w:val="both"/>
        <w:rPr>
          <w:rFonts w:ascii="Arial Narrow" w:eastAsia="Arial Narrow" w:hAnsi="Arial Narrow" w:cs="Arial Narrow"/>
          <w:noProof/>
          <w:sz w:val="18"/>
          <w:szCs w:val="18"/>
        </w:rPr>
      </w:pPr>
      <w:r w:rsidRPr="002F66D3">
        <w:rPr>
          <w:rFonts w:ascii="Arial Narrow" w:eastAsia="Arial Narrow" w:hAnsi="Arial Narrow" w:cs="Arial Narrow"/>
          <w:noProof/>
          <w:sz w:val="18"/>
          <w:szCs w:val="18"/>
        </w:rPr>
        <w:t>Krišjānis Znotiņš, Valdes priekšsēdētājs</w:t>
      </w:r>
    </w:p>
    <w:p w:rsidR="00B35876" w:rsidRPr="002F66D3" w:rsidP="00744857" w14:paraId="674660C6" w14:textId="22244ABB">
      <w:pPr>
        <w:spacing w:after="0"/>
        <w:jc w:val="both"/>
        <w:rPr>
          <w:rFonts w:ascii="Arial Narrow" w:eastAsia="Arial Narrow" w:hAnsi="Arial Narrow" w:cs="Arial Narrow"/>
          <w:sz w:val="18"/>
          <w:szCs w:val="18"/>
        </w:rPr>
      </w:pPr>
      <w:r w:rsidRPr="002F66D3">
        <w:rPr>
          <w:rFonts w:ascii="Arial Narrow" w:eastAsia="Arial Narrow" w:hAnsi="Arial Narrow" w:cs="Arial Narrow"/>
          <w:noProof/>
          <w:sz w:val="18"/>
          <w:szCs w:val="18"/>
        </w:rPr>
        <w:t>Aivis Lonskis, Valdes loceklis</w:t>
      </w:r>
    </w:p>
    <w:p w:rsidR="002A24B4" w:rsidRPr="00D662C8" w:rsidP="00611CD1" w14:paraId="0D768FC3" w14:textId="6308C484">
      <w:pPr>
        <w:pageBreakBefore/>
        <w:spacing w:after="0"/>
        <w:jc w:val="center"/>
        <w:rPr>
          <w:rFonts w:ascii="Arial Narrow" w:eastAsia="Arial Narrow" w:hAnsi="Arial Narrow" w:cs="Arial Narrow"/>
          <w:b/>
          <w:bCs/>
          <w:noProof/>
          <w:sz w:val="18"/>
          <w:szCs w:val="18"/>
        </w:rPr>
      </w:pPr>
      <w:bookmarkStart w:id="26" w:name="RG_MARKER_7414"/>
      <w:r w:rsidRPr="00D662C8">
        <w:rPr>
          <w:rFonts w:ascii="Arial Narrow" w:eastAsia="Arial Narrow" w:hAnsi="Arial Narrow" w:cs="Arial Narrow"/>
          <w:b/>
          <w:bCs/>
          <w:noProof/>
          <w:sz w:val="18"/>
          <w:szCs w:val="18"/>
        </w:rPr>
        <w:t>Paziņojums par vadības atbildību</w:t>
      </w:r>
      <w:bookmarkEnd w:id="26"/>
    </w:p>
    <w:p w:rsidR="002A24B4" w:rsidRPr="00D662C8" w:rsidP="002A24B4" w14:paraId="1875F606" w14:textId="77777777">
      <w:pPr>
        <w:spacing w:after="0"/>
        <w:rPr>
          <w:rFonts w:ascii="Arial Narrow" w:eastAsia="Arial Narrow" w:hAnsi="Arial Narrow" w:cs="Arial Narrow"/>
          <w:noProof/>
          <w:sz w:val="18"/>
          <w:szCs w:val="18"/>
        </w:rPr>
      </w:pP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p>
    <w:p w:rsidR="002A24B4" w:rsidRPr="00D662C8" w:rsidP="003203B8" w14:paraId="006BF0EB" w14:textId="37B2B89C">
      <w:pPr>
        <w:spacing w:after="0"/>
        <w:jc w:val="both"/>
        <w:rPr>
          <w:rFonts w:ascii="Arial Narrow" w:eastAsia="Arial Narrow" w:hAnsi="Arial Narrow" w:cs="Arial Narrow"/>
          <w:noProof/>
          <w:sz w:val="18"/>
          <w:szCs w:val="18"/>
        </w:rPr>
      </w:pPr>
      <w:r w:rsidRPr="00D662C8">
        <w:rPr>
          <w:rFonts w:ascii="Arial Narrow" w:eastAsia="Arial Narrow" w:hAnsi="Arial Narrow" w:cs="Arial Narrow"/>
          <w:noProof/>
          <w:sz w:val="18"/>
          <w:szCs w:val="18"/>
        </w:rPr>
        <w:t>202</w:t>
      </w:r>
      <w:r w:rsidRPr="00D662C8" w:rsidR="00F36290">
        <w:rPr>
          <w:rFonts w:ascii="Arial Narrow" w:eastAsia="Arial Narrow" w:hAnsi="Arial Narrow" w:cs="Arial Narrow"/>
          <w:noProof/>
          <w:sz w:val="18"/>
          <w:szCs w:val="18"/>
        </w:rPr>
        <w:t>2</w:t>
      </w:r>
      <w:r w:rsidRPr="00D662C8">
        <w:rPr>
          <w:rFonts w:ascii="Arial Narrow" w:eastAsia="Arial Narrow" w:hAnsi="Arial Narrow" w:cs="Arial Narrow"/>
          <w:noProof/>
          <w:sz w:val="18"/>
          <w:szCs w:val="18"/>
        </w:rPr>
        <w:t xml:space="preserve">. gada </w:t>
      </w:r>
      <w:r>
        <w:rPr>
          <w:rFonts w:ascii="Arial Narrow" w:eastAsia="Arial Narrow" w:hAnsi="Arial Narrow" w:cs="Arial Narrow"/>
          <w:noProof/>
          <w:sz w:val="18"/>
          <w:szCs w:val="18"/>
        </w:rPr>
        <w:t>30</w:t>
      </w:r>
      <w:r w:rsidRPr="00D662C8">
        <w:rPr>
          <w:rFonts w:ascii="Arial Narrow" w:eastAsia="Arial Narrow" w:hAnsi="Arial Narrow" w:cs="Arial Narrow"/>
          <w:noProof/>
          <w:sz w:val="18"/>
          <w:szCs w:val="18"/>
        </w:rPr>
        <w:t>. aprīlī</w:t>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p>
    <w:p w:rsidR="002A24B4" w:rsidRPr="00D662C8" w:rsidP="003203B8" w14:paraId="48060558" w14:textId="77777777">
      <w:pPr>
        <w:spacing w:after="0"/>
        <w:jc w:val="both"/>
        <w:rPr>
          <w:rFonts w:ascii="Arial Narrow" w:eastAsia="Arial Narrow" w:hAnsi="Arial Narrow" w:cs="Arial Narrow"/>
          <w:noProof/>
          <w:sz w:val="18"/>
          <w:szCs w:val="18"/>
        </w:rPr>
      </w:pP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r w:rsidRPr="00D662C8">
        <w:rPr>
          <w:rFonts w:ascii="Arial Narrow" w:eastAsia="Arial Narrow" w:hAnsi="Arial Narrow" w:cs="Arial Narrow"/>
          <w:noProof/>
          <w:sz w:val="18"/>
          <w:szCs w:val="18"/>
        </w:rPr>
        <w:tab/>
      </w:r>
    </w:p>
    <w:p w:rsidR="000F59A4" w:rsidRPr="00D662C8" w:rsidP="003203B8" w14:paraId="265F27AF" w14:textId="77777777">
      <w:pPr>
        <w:spacing w:after="0"/>
        <w:jc w:val="both"/>
        <w:rPr>
          <w:rFonts w:ascii="Arial Narrow" w:eastAsia="Arial Narrow" w:hAnsi="Arial Narrow" w:cs="Arial Narrow"/>
          <w:noProof/>
          <w:sz w:val="18"/>
          <w:szCs w:val="18"/>
        </w:rPr>
      </w:pPr>
      <w:r w:rsidRPr="00D662C8">
        <w:rPr>
          <w:rFonts w:ascii="Arial Narrow" w:eastAsia="Arial Narrow" w:hAnsi="Arial Narrow" w:cs="Arial Narrow"/>
          <w:noProof/>
          <w:sz w:val="18"/>
          <w:szCs w:val="18"/>
        </w:rPr>
        <w:t>AS “mogo” vadība ir atbildīga par konsolidēto finanšu pārskatu sagatavošanu.</w:t>
      </w:r>
    </w:p>
    <w:p w:rsidR="000F59A4" w:rsidRPr="00D662C8" w:rsidP="003203B8" w14:paraId="2B822DC8" w14:textId="77777777">
      <w:pPr>
        <w:spacing w:after="0"/>
        <w:jc w:val="both"/>
        <w:rPr>
          <w:rFonts w:ascii="Arial Narrow" w:eastAsia="Arial Narrow" w:hAnsi="Arial Narrow" w:cs="Arial Narrow"/>
          <w:noProof/>
          <w:sz w:val="18"/>
          <w:szCs w:val="18"/>
        </w:rPr>
      </w:pPr>
    </w:p>
    <w:p w:rsidR="000F59A4" w:rsidRPr="00D662C8" w:rsidP="003203B8" w14:paraId="3C2316E4" w14:textId="77777777">
      <w:pPr>
        <w:spacing w:after="0"/>
        <w:jc w:val="both"/>
        <w:rPr>
          <w:rFonts w:ascii="Arial Narrow" w:eastAsia="Arial Narrow" w:hAnsi="Arial Narrow" w:cs="Arial Narrow"/>
          <w:noProof/>
          <w:sz w:val="18"/>
          <w:szCs w:val="18"/>
        </w:rPr>
      </w:pPr>
      <w:r w:rsidRPr="00D662C8">
        <w:rPr>
          <w:rFonts w:ascii="Arial Narrow" w:eastAsia="Arial Narrow" w:hAnsi="Arial Narrow" w:cs="Arial Narrow"/>
          <w:noProof/>
          <w:sz w:val="18"/>
          <w:szCs w:val="18"/>
        </w:rPr>
        <w:t xml:space="preserve">Pamatojoties uz Koncerna valdes rīcībā esošo informāciju, konsolidētie finanšu pārskati ir sagatavoti saskaņā ar grāmatvedības uzskaites pamatdokumentiem un ar Eiropas Savienībā pieņemtajiem Starptautiskajiem finanšu pārskatu standartiem un sniedz patiesu </w:t>
      </w:r>
      <w:r w:rsidRPr="00D662C8">
        <w:rPr>
          <w:rFonts w:ascii="Arial Narrow" w:eastAsia="Arial Narrow" w:hAnsi="Arial Narrow" w:cs="Arial Narrow"/>
          <w:noProof/>
          <w:sz w:val="18"/>
          <w:szCs w:val="18"/>
        </w:rPr>
        <w:t>un skaidru priekšstatu par Koncerna aktīviem, saistībām, finansiālo stāvokli 2020. gada 31. decembrī, darbības rezultātiem un naudas plūsmām par gadu, kas noslēdzās 2020. gada 31. decembrī.</w:t>
      </w:r>
    </w:p>
    <w:p w:rsidR="000F59A4" w:rsidRPr="00D662C8" w:rsidP="003203B8" w14:paraId="2931FC60" w14:textId="77777777">
      <w:pPr>
        <w:spacing w:after="0"/>
        <w:jc w:val="both"/>
        <w:rPr>
          <w:rFonts w:ascii="Arial Narrow" w:eastAsia="Arial Narrow" w:hAnsi="Arial Narrow" w:cs="Arial Narrow"/>
          <w:noProof/>
          <w:sz w:val="18"/>
          <w:szCs w:val="18"/>
        </w:rPr>
      </w:pPr>
    </w:p>
    <w:p w:rsidR="000F59A4" w:rsidRPr="00D662C8" w:rsidP="003203B8" w14:paraId="7DABB6A7" w14:textId="77777777">
      <w:pPr>
        <w:spacing w:after="0"/>
        <w:jc w:val="both"/>
        <w:rPr>
          <w:rFonts w:ascii="Arial Narrow" w:eastAsia="Arial Narrow" w:hAnsi="Arial Narrow" w:cs="Arial Narrow"/>
          <w:noProof/>
          <w:sz w:val="18"/>
          <w:szCs w:val="18"/>
        </w:rPr>
      </w:pPr>
      <w:r w:rsidRPr="00D662C8">
        <w:rPr>
          <w:rFonts w:ascii="Arial Narrow" w:eastAsia="Arial Narrow" w:hAnsi="Arial Narrow" w:cs="Arial Narrow"/>
          <w:noProof/>
          <w:sz w:val="18"/>
          <w:szCs w:val="18"/>
        </w:rPr>
        <w:t>Koncerna vadība apliecina, ka ir izmantotas atbilstošas un konsek</w:t>
      </w:r>
      <w:r w:rsidRPr="00D662C8">
        <w:rPr>
          <w:rFonts w:ascii="Arial Narrow" w:eastAsia="Arial Narrow" w:hAnsi="Arial Narrow" w:cs="Arial Narrow"/>
          <w:noProof/>
          <w:sz w:val="18"/>
          <w:szCs w:val="18"/>
        </w:rPr>
        <w:t>ventas grāmatvedības politikas un vadības aplēses. Koncerna vadība apliecina, ka, sagatavojot atsevišķos finanšu pārskatus, ir izmantots piesardzības princips, kā arī darbības turpināšanas princips. Koncerna vadība apliecina, ka ir atbildīga par atbilstoša</w:t>
      </w:r>
      <w:r w:rsidRPr="00D662C8">
        <w:rPr>
          <w:rFonts w:ascii="Arial Narrow" w:eastAsia="Arial Narrow" w:hAnsi="Arial Narrow" w:cs="Arial Narrow"/>
          <w:noProof/>
          <w:sz w:val="18"/>
          <w:szCs w:val="18"/>
        </w:rPr>
        <w:t>s grāmatvedības uzskaites nodrošināšanu, kā arī par Koncerna aktīvu uzraudzību, kontroli un saglabāšanu.</w:t>
      </w:r>
    </w:p>
    <w:p w:rsidR="000F59A4" w:rsidRPr="00D662C8" w:rsidP="003203B8" w14:paraId="3F8B2552" w14:textId="77777777">
      <w:pPr>
        <w:spacing w:after="0"/>
        <w:jc w:val="both"/>
        <w:rPr>
          <w:rFonts w:ascii="Arial Narrow" w:eastAsia="Arial Narrow" w:hAnsi="Arial Narrow" w:cs="Arial Narrow"/>
          <w:noProof/>
          <w:sz w:val="18"/>
          <w:szCs w:val="18"/>
        </w:rPr>
      </w:pPr>
    </w:p>
    <w:p w:rsidR="000F59A4" w:rsidRPr="00D662C8" w:rsidP="003203B8" w14:paraId="58238FFB" w14:textId="77777777">
      <w:pPr>
        <w:spacing w:after="0"/>
        <w:jc w:val="both"/>
        <w:rPr>
          <w:rFonts w:ascii="Arial Narrow" w:eastAsia="Arial Narrow" w:hAnsi="Arial Narrow" w:cs="Arial Narrow"/>
          <w:noProof/>
          <w:sz w:val="18"/>
          <w:szCs w:val="18"/>
        </w:rPr>
      </w:pPr>
      <w:r w:rsidRPr="00D662C8">
        <w:rPr>
          <w:rFonts w:ascii="Arial Narrow" w:eastAsia="Arial Narrow" w:hAnsi="Arial Narrow" w:cs="Arial Narrow"/>
          <w:noProof/>
          <w:sz w:val="18"/>
          <w:szCs w:val="18"/>
        </w:rPr>
        <w:t>"Koncerna vadība ir atbildīga par kļūdu, neprecizitāšu un/vai apzinātu datu sagrozīšanas apzināšanu un novēršanu. Koncerna vadība ir atbildīga par Kon</w:t>
      </w:r>
      <w:r w:rsidRPr="00D662C8">
        <w:rPr>
          <w:rFonts w:ascii="Arial Narrow" w:eastAsia="Arial Narrow" w:hAnsi="Arial Narrow" w:cs="Arial Narrow"/>
          <w:noProof/>
          <w:sz w:val="18"/>
          <w:szCs w:val="18"/>
        </w:rPr>
        <w:t>cerna darbības nodrošināšanu saskaņā ar Latvijas Republikas likumdošanas normu prasībām.</w:t>
      </w:r>
    </w:p>
    <w:p w:rsidR="000F59A4" w:rsidRPr="00D662C8" w:rsidP="003203B8" w14:paraId="67577E2D" w14:textId="77777777">
      <w:pPr>
        <w:spacing w:after="0"/>
        <w:jc w:val="both"/>
        <w:rPr>
          <w:rFonts w:ascii="Arial Narrow" w:eastAsia="Arial Narrow" w:hAnsi="Arial Narrow" w:cs="Arial Narrow"/>
          <w:noProof/>
          <w:sz w:val="18"/>
          <w:szCs w:val="18"/>
        </w:rPr>
      </w:pPr>
      <w:r w:rsidRPr="00D662C8">
        <w:rPr>
          <w:rFonts w:ascii="Arial Narrow" w:eastAsia="Arial Narrow" w:hAnsi="Arial Narrow" w:cs="Arial Narrow"/>
          <w:noProof/>
          <w:sz w:val="18"/>
          <w:szCs w:val="18"/>
        </w:rPr>
        <w:t>Vadības ziņojums ietver skaidru pārskatu par Koncerna komercdarbības attīstību un darbības rezultātiem."</w:t>
      </w:r>
    </w:p>
    <w:p w:rsidR="000F59A4" w:rsidRPr="00D662C8" w:rsidP="003203B8" w14:paraId="22907711" w14:textId="77777777">
      <w:pPr>
        <w:spacing w:after="0"/>
        <w:jc w:val="both"/>
        <w:rPr>
          <w:rFonts w:ascii="Arial Narrow" w:eastAsia="Arial Narrow" w:hAnsi="Arial Narrow" w:cs="Arial Narrow"/>
          <w:noProof/>
          <w:sz w:val="18"/>
          <w:szCs w:val="18"/>
        </w:rPr>
      </w:pPr>
    </w:p>
    <w:p w:rsidR="000F59A4" w:rsidRPr="00D662C8" w:rsidP="003203B8" w14:paraId="1B347E2D" w14:textId="609CFF8C">
      <w:pPr>
        <w:spacing w:after="0"/>
        <w:jc w:val="both"/>
        <w:rPr>
          <w:rFonts w:ascii="Arial Narrow" w:eastAsia="Arial Narrow" w:hAnsi="Arial Narrow" w:cs="Arial Narrow"/>
          <w:noProof/>
          <w:sz w:val="18"/>
          <w:szCs w:val="18"/>
        </w:rPr>
      </w:pPr>
      <w:r w:rsidRPr="00D662C8">
        <w:rPr>
          <w:rFonts w:ascii="Arial Narrow" w:eastAsia="Arial Narrow" w:hAnsi="Arial Narrow" w:cs="Arial Narrow"/>
          <w:noProof/>
          <w:sz w:val="18"/>
          <w:szCs w:val="18"/>
        </w:rPr>
        <w:t xml:space="preserve">Koncerna vārdā 2022. gada </w:t>
      </w:r>
      <w:r>
        <w:rPr>
          <w:rFonts w:ascii="Arial Narrow" w:eastAsia="Arial Narrow" w:hAnsi="Arial Narrow" w:cs="Arial Narrow"/>
          <w:noProof/>
          <w:sz w:val="18"/>
          <w:szCs w:val="18"/>
        </w:rPr>
        <w:t>30</w:t>
      </w:r>
      <w:r w:rsidRPr="00D662C8">
        <w:rPr>
          <w:rFonts w:ascii="Arial Narrow" w:eastAsia="Arial Narrow" w:hAnsi="Arial Narrow" w:cs="Arial Narrow"/>
          <w:noProof/>
          <w:sz w:val="18"/>
          <w:szCs w:val="18"/>
        </w:rPr>
        <w:t>. aprīlī konsolidētos finanšu pār</w:t>
      </w:r>
      <w:r w:rsidRPr="00D662C8">
        <w:rPr>
          <w:rFonts w:ascii="Arial Narrow" w:eastAsia="Arial Narrow" w:hAnsi="Arial Narrow" w:cs="Arial Narrow"/>
          <w:noProof/>
          <w:sz w:val="18"/>
          <w:szCs w:val="18"/>
        </w:rPr>
        <w:t>skatus ir parakstījuši:</w:t>
      </w:r>
    </w:p>
    <w:p w:rsidR="000F59A4" w:rsidRPr="00D662C8" w:rsidP="003203B8" w14:paraId="47D94443" w14:textId="77777777">
      <w:pPr>
        <w:spacing w:after="0"/>
        <w:jc w:val="both"/>
        <w:rPr>
          <w:rFonts w:ascii="Arial Narrow" w:eastAsia="Arial Narrow" w:hAnsi="Arial Narrow" w:cs="Arial Narrow"/>
          <w:noProof/>
          <w:sz w:val="18"/>
          <w:szCs w:val="18"/>
        </w:rPr>
      </w:pPr>
    </w:p>
    <w:p w:rsidR="000F59A4" w:rsidRPr="00D662C8" w:rsidP="003203B8" w14:paraId="751C95DA" w14:textId="77777777">
      <w:pPr>
        <w:spacing w:after="0"/>
        <w:jc w:val="both"/>
        <w:rPr>
          <w:rFonts w:ascii="Arial Narrow" w:eastAsia="Arial Narrow" w:hAnsi="Arial Narrow" w:cs="Arial Narrow"/>
          <w:noProof/>
          <w:sz w:val="18"/>
          <w:szCs w:val="18"/>
        </w:rPr>
      </w:pPr>
      <w:r w:rsidRPr="00D662C8">
        <w:rPr>
          <w:rFonts w:ascii="Arial Narrow" w:eastAsia="Arial Narrow" w:hAnsi="Arial Narrow" w:cs="Arial Narrow"/>
          <w:noProof/>
          <w:sz w:val="18"/>
          <w:szCs w:val="18"/>
        </w:rPr>
        <w:t>Krišjānis Znotiņš, Valdes priekšsēdētājs</w:t>
      </w:r>
    </w:p>
    <w:p w:rsidR="00B35876" w:rsidRPr="00D662C8" w:rsidP="003203B8" w14:textId="64ADD264">
      <w:pPr>
        <w:spacing w:after="0"/>
        <w:jc w:val="both"/>
        <w:rPr>
          <w:rFonts w:ascii="Arial Narrow" w:eastAsia="Arial Narrow" w:hAnsi="Arial Narrow" w:cs="Arial Narrow"/>
          <w:sz w:val="18"/>
          <w:szCs w:val="18"/>
        </w:rPr>
      </w:pPr>
      <w:r w:rsidRPr="00D662C8">
        <w:rPr>
          <w:rFonts w:ascii="Arial Narrow" w:eastAsia="Arial Narrow" w:hAnsi="Arial Narrow" w:cs="Arial Narrow"/>
          <w:noProof/>
          <w:sz w:val="18"/>
          <w:szCs w:val="18"/>
        </w:rPr>
        <w:t>Aivis Lonskis, Valdes loceklis</w:t>
      </w:r>
    </w:p>
    <w:tbl>
      <w:tblPr>
        <w:tblStyle w:val="CDMRange1"/>
        <w:tblW w:w="9720" w:type="dxa"/>
        <w:tblLayout w:type="fixed"/>
        <w:tblLook w:val="0600"/>
      </w:tblPr>
      <w:tblGrid>
        <w:gridCol w:w="5700"/>
        <w:gridCol w:w="720"/>
        <w:gridCol w:w="150"/>
        <w:gridCol w:w="1500"/>
        <w:gridCol w:w="150"/>
        <w:gridCol w:w="1500"/>
      </w:tblGrid>
      <w:tr>
        <w:tblPrEx>
          <w:tblW w:w="9720" w:type="dxa"/>
          <w:tblLayout w:type="fixed"/>
          <w:tblLook w:val="0600"/>
        </w:tblPrEx>
        <w:trPr>
          <w:cantSplit/>
          <w:trHeight w:hRule="exact" w:val="255"/>
        </w:trPr>
        <w:tc>
          <w:tcPr>
            <w:tcW w:w="9720" w:type="dxa"/>
            <w:gridSpan w:val="6"/>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pageBreakBefore/>
              <w:bidi w:val="0"/>
              <w:spacing w:before="0" w:beforeAutospacing="0" w:after="0" w:afterAutospacing="0" w:line="240" w:lineRule="auto"/>
              <w:jc w:val="center"/>
              <w:rPr>
                <w:rFonts w:ascii="Arial Narrow" w:eastAsia="Arial Narrow" w:hAnsi="Arial Narrow" w:cs="Arial Narrow"/>
                <w:b/>
                <w:i w:val="0"/>
                <w:strike w:val="0"/>
                <w:color w:val="000000"/>
                <w:sz w:val="20"/>
                <w:u w:val="none"/>
                <w:vertAlign w:val="baseline"/>
              </w:rPr>
            </w:pPr>
            <w:r>
              <w:rPr>
                <w:rFonts w:ascii="Arial Narrow" w:eastAsia="Arial Narrow" w:hAnsi="Arial Narrow" w:cs="Arial Narrow"/>
                <w:b/>
                <w:i w:val="0"/>
                <w:strike w:val="0"/>
                <w:color w:val="000000"/>
                <w:sz w:val="20"/>
                <w:u w:val="none"/>
                <w:vertAlign w:val="baseline"/>
              </w:rPr>
              <w:t>Konsolidētais finanšu pārskats</w:t>
            </w:r>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163"/>
        </w:trPr>
        <w:tc>
          <w:tcPr>
            <w:tcW w:w="57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72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9720" w:type="dxa"/>
            <w:gridSpan w:val="6"/>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20"/>
                <w:u w:val="none"/>
                <w:vertAlign w:val="baseline"/>
              </w:rPr>
            </w:pPr>
            <w:r>
              <w:rPr>
                <w:rFonts w:ascii="Arial Narrow" w:eastAsia="Arial Narrow" w:hAnsi="Arial Narrow" w:cs="Arial Narrow"/>
                <w:b/>
                <w:i w:val="0"/>
                <w:strike w:val="0"/>
                <w:color w:val="000000"/>
                <w:sz w:val="20"/>
                <w:u w:val="none"/>
                <w:vertAlign w:val="baseline"/>
              </w:rPr>
              <w:t>Konsolidētais peļņas vai zaudējumu aprēķins un pārējo apvienoto ienākumu pārskats</w:t>
            </w:r>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163"/>
        </w:trPr>
        <w:tc>
          <w:tcPr>
            <w:tcW w:w="57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72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72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gridSpan w:val="2"/>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2021</w:t>
            </w:r>
          </w:p>
        </w:tc>
        <w:tc>
          <w:tcPr>
            <w:tcW w:w="1650" w:type="dxa"/>
            <w:gridSpan w:val="2"/>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2020</w:t>
            </w:r>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72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Pielikums</w:t>
            </w:r>
          </w:p>
        </w:tc>
        <w:tc>
          <w:tcPr>
            <w:tcW w:w="165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165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Procentu ieņēmumi </w:t>
            </w:r>
          </w:p>
        </w:tc>
        <w:tc>
          <w:tcPr>
            <w:tcW w:w="72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w:t>
            </w:r>
          </w:p>
        </w:tc>
        <w:tc>
          <w:tcPr>
            <w:tcW w:w="1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7" w:name="XBRL_CS_a3c79c14102d4234bc076dd14d13a1b8"/>
            <w:bookmarkEnd w:id="27"/>
            <w:bookmarkStart w:id="28" w:name="a3c79c14102d4234bc076dd14d13a1b8"/>
            <w:r>
              <w:rPr>
                <w:rFonts w:ascii="Arial Narrow" w:eastAsia="Arial Narrow" w:hAnsi="Arial Narrow" w:cs="Arial Narrow"/>
                <w:b w:val="0"/>
                <w:i w:val="0"/>
                <w:strike w:val="0"/>
                <w:color w:val="000000"/>
                <w:sz w:val="16"/>
                <w:u w:val="none"/>
                <w:vertAlign w:val="baseline"/>
              </w:rPr>
              <w:t>6,951,645</w:t>
            </w:r>
            <w:bookmarkStart w:id="29" w:name="XBRL_CE_a3c79c14102d4234bc076dd14d13a1b8"/>
            <w:bookmarkEnd w:id="28"/>
            <w:bookmarkEnd w:id="29"/>
          </w:p>
        </w:tc>
        <w:tc>
          <w:tcPr>
            <w:tcW w:w="150" w:type="dxa"/>
            <w:tcBorders>
              <w:top w:val="single" w:sz="4" w:space="0" w:color="000000"/>
              <w:left w:val="nil"/>
              <w:bottom w:val="nil"/>
              <w:right w:val="nil"/>
              <w:tl2br w:val="nil"/>
              <w:tr2bl w:val="nil"/>
            </w:tcBorders>
            <w:shd w:val="clear" w:color="FFFFFF" w:fill="E2F0D9"/>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0" w:name="XBRL_CS_58cbb5dbc16649359f101bd2b36f0b9e"/>
            <w:bookmarkEnd w:id="30"/>
            <w:bookmarkStart w:id="31" w:name="58cbb5dbc16649359f101bd2b36f0b9e"/>
            <w:r>
              <w:rPr>
                <w:rFonts w:ascii="Arial Narrow" w:eastAsia="Arial Narrow" w:hAnsi="Arial Narrow" w:cs="Arial Narrow"/>
                <w:b w:val="0"/>
                <w:i w:val="0"/>
                <w:strike w:val="0"/>
                <w:color w:val="000000"/>
                <w:sz w:val="16"/>
                <w:u w:val="none"/>
                <w:vertAlign w:val="baseline"/>
              </w:rPr>
              <w:t>9,880,509</w:t>
            </w:r>
            <w:bookmarkStart w:id="32" w:name="XBRL_CE_58cbb5dbc16649359f101bd2b36f0b9e"/>
            <w:bookmarkEnd w:id="31"/>
            <w:bookmarkEnd w:id="32"/>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Procentu izdevumi</w:t>
            </w:r>
          </w:p>
        </w:tc>
        <w:tc>
          <w:tcPr>
            <w:tcW w:w="72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w:t>
            </w:r>
          </w:p>
        </w:tc>
        <w:tc>
          <w:tcPr>
            <w:tcW w:w="1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3" w:name="XBRL_CS_f0e33dc53eb040f291b9e6fd72cffa1b"/>
            <w:bookmarkEnd w:id="33"/>
            <w:bookmarkStart w:id="34" w:name="f0e33dc53eb040f291b9e6fd72cffa1b"/>
            <w:r>
              <w:rPr>
                <w:rFonts w:ascii="Arial Narrow" w:eastAsia="Arial Narrow" w:hAnsi="Arial Narrow" w:cs="Arial Narrow"/>
                <w:b w:val="0"/>
                <w:i w:val="0"/>
                <w:strike w:val="0"/>
                <w:color w:val="000000"/>
                <w:sz w:val="16"/>
                <w:u w:val="none"/>
                <w:vertAlign w:val="baseline"/>
              </w:rPr>
              <w:t>(4,517,067)</w:t>
            </w:r>
            <w:bookmarkStart w:id="35" w:name="XBRL_CE_f0e33dc53eb040f291b9e6fd72cffa1b"/>
            <w:bookmarkEnd w:id="34"/>
            <w:bookmarkEnd w:id="35"/>
          </w:p>
        </w:tc>
        <w:tc>
          <w:tcPr>
            <w:tcW w:w="150" w:type="dxa"/>
            <w:tcBorders>
              <w:top w:val="nil"/>
              <w:left w:val="nil"/>
              <w:bottom w:val="single" w:sz="4" w:space="0" w:color="000000"/>
              <w:right w:val="nil"/>
              <w:tl2br w:val="nil"/>
              <w:tr2bl w:val="nil"/>
            </w:tcBorders>
            <w:shd w:val="clear" w:color="FFFFFF" w:fill="E2F0D9"/>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6" w:name="XBRL_CS_e12f17906e124f3da36ed1e530d03ca7"/>
            <w:bookmarkEnd w:id="36"/>
            <w:bookmarkStart w:id="37" w:name="e12f17906e124f3da36ed1e530d03ca7"/>
            <w:r>
              <w:rPr>
                <w:rFonts w:ascii="Arial Narrow" w:eastAsia="Arial Narrow" w:hAnsi="Arial Narrow" w:cs="Arial Narrow"/>
                <w:b w:val="0"/>
                <w:i w:val="0"/>
                <w:strike w:val="0"/>
                <w:color w:val="000000"/>
                <w:sz w:val="16"/>
                <w:u w:val="none"/>
                <w:vertAlign w:val="baseline"/>
              </w:rPr>
              <w:t>(4,549,068)</w:t>
            </w:r>
            <w:bookmarkStart w:id="38" w:name="XBRL_CE_e12f17906e124f3da36ed1e530d03ca7"/>
            <w:bookmarkEnd w:id="37"/>
            <w:bookmarkEnd w:id="38"/>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 xml:space="preserve">Neto procentu ieņēmumi </w:t>
            </w:r>
          </w:p>
        </w:tc>
        <w:tc>
          <w:tcPr>
            <w:tcW w:w="72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00" w:type="dxa"/>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39" w:name="XBRL_CS_25fdfd34009b4a8ebc018eef01844803"/>
            <w:bookmarkEnd w:id="39"/>
            <w:bookmarkStart w:id="40" w:name="25fdfd34009b4a8ebc018eef01844803"/>
            <w:r>
              <w:rPr>
                <w:rFonts w:ascii="Arial Narrow" w:eastAsia="Arial Narrow" w:hAnsi="Arial Narrow" w:cs="Arial Narrow"/>
                <w:b/>
                <w:i w:val="0"/>
                <w:strike w:val="0"/>
                <w:color w:val="000000"/>
                <w:sz w:val="16"/>
                <w:u w:val="none"/>
                <w:vertAlign w:val="baseline"/>
              </w:rPr>
              <w:t>2,434,578</w:t>
            </w:r>
            <w:bookmarkStart w:id="41" w:name="XBRL_CE_25fdfd34009b4a8ebc018eef01844803"/>
            <w:bookmarkEnd w:id="40"/>
            <w:bookmarkEnd w:id="41"/>
          </w:p>
        </w:tc>
        <w:tc>
          <w:tcPr>
            <w:tcW w:w="150" w:type="dxa"/>
            <w:tcBorders>
              <w:top w:val="single" w:sz="4" w:space="0" w:color="000000"/>
              <w:left w:val="nil"/>
              <w:bottom w:val="nil"/>
              <w:right w:val="nil"/>
              <w:tl2br w:val="nil"/>
              <w:tr2bl w:val="nil"/>
            </w:tcBorders>
            <w:shd w:val="clear" w:color="FFFFFF" w:fill="DEEBF7"/>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42" w:name="XBRL_CS_e274ecb09d524752a9ce79a73639b1a0"/>
            <w:bookmarkEnd w:id="42"/>
            <w:bookmarkStart w:id="43" w:name="e274ecb09d524752a9ce79a73639b1a0"/>
            <w:r>
              <w:rPr>
                <w:rFonts w:ascii="Arial Narrow" w:eastAsia="Arial Narrow" w:hAnsi="Arial Narrow" w:cs="Arial Narrow"/>
                <w:b/>
                <w:i w:val="0"/>
                <w:strike w:val="0"/>
                <w:color w:val="000000"/>
                <w:sz w:val="16"/>
                <w:u w:val="none"/>
                <w:vertAlign w:val="baseline"/>
              </w:rPr>
              <w:t>5,331,441</w:t>
            </w:r>
            <w:bookmarkStart w:id="44" w:name="XBRL_CE_e274ecb09d524752a9ce79a73639b1a0"/>
            <w:bookmarkEnd w:id="43"/>
            <w:bookmarkEnd w:id="44"/>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Automašīnu nomas ieņēmumi</w:t>
            </w:r>
          </w:p>
        </w:tc>
        <w:tc>
          <w:tcPr>
            <w:tcW w:w="72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w:t>
            </w: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5" w:name="XBRL_CS_5222b072ec5d435b95ca66eaf1748af8"/>
            <w:bookmarkEnd w:id="45"/>
            <w:bookmarkStart w:id="46" w:name="5222b072ec5d435b95ca66eaf1748af8"/>
            <w:r>
              <w:rPr>
                <w:rFonts w:ascii="Arial Narrow" w:eastAsia="Arial Narrow" w:hAnsi="Arial Narrow" w:cs="Arial Narrow"/>
                <w:b w:val="0"/>
                <w:i w:val="0"/>
                <w:strike w:val="0"/>
                <w:color w:val="000000"/>
                <w:sz w:val="16"/>
                <w:u w:val="none"/>
                <w:vertAlign w:val="baseline"/>
              </w:rPr>
              <w:t>6,543,201</w:t>
            </w:r>
            <w:bookmarkStart w:id="47" w:name="XBRL_CE_5222b072ec5d435b95ca66eaf1748af8"/>
            <w:bookmarkEnd w:id="46"/>
            <w:bookmarkEnd w:id="47"/>
          </w:p>
        </w:tc>
        <w:tc>
          <w:tcPr>
            <w:tcW w:w="150"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8" w:name="XBRL_CS_3626748baede464eaf13f1b3256ad77a"/>
            <w:bookmarkEnd w:id="48"/>
            <w:bookmarkStart w:id="49" w:name="3626748baede464eaf13f1b3256ad77a"/>
            <w:r>
              <w:rPr>
                <w:rFonts w:ascii="Arial Narrow" w:eastAsia="Arial Narrow" w:hAnsi="Arial Narrow" w:cs="Arial Narrow"/>
                <w:b w:val="0"/>
                <w:i w:val="0"/>
                <w:strike w:val="0"/>
                <w:color w:val="000000"/>
                <w:sz w:val="16"/>
                <w:u w:val="none"/>
                <w:vertAlign w:val="baseline"/>
              </w:rPr>
              <w:t>6,240,662</w:t>
            </w:r>
            <w:bookmarkStart w:id="50" w:name="XBRL_CE_3626748baede464eaf13f1b3256ad77a"/>
            <w:bookmarkEnd w:id="49"/>
            <w:bookmarkEnd w:id="50"/>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Komisijas naudas ieņēmumi no līzinga un nomas līgumiem</w:t>
            </w:r>
          </w:p>
        </w:tc>
        <w:tc>
          <w:tcPr>
            <w:tcW w:w="72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w:t>
            </w: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1" w:name="XBRL_CS_40095a86eb9c422ea9eaffd4bd1eb820"/>
            <w:bookmarkEnd w:id="51"/>
            <w:bookmarkStart w:id="52" w:name="40095a86eb9c422ea9eaffd4bd1eb820"/>
            <w:r>
              <w:rPr>
                <w:rFonts w:ascii="Arial Narrow" w:eastAsia="Arial Narrow" w:hAnsi="Arial Narrow" w:cs="Arial Narrow"/>
                <w:b w:val="0"/>
                <w:i w:val="0"/>
                <w:strike w:val="0"/>
                <w:color w:val="000000"/>
                <w:sz w:val="16"/>
                <w:u w:val="none"/>
                <w:vertAlign w:val="baseline"/>
              </w:rPr>
              <w:t>651,031</w:t>
            </w:r>
            <w:bookmarkStart w:id="53" w:name="XBRL_CE_40095a86eb9c422ea9eaffd4bd1eb820"/>
            <w:bookmarkEnd w:id="52"/>
            <w:bookmarkEnd w:id="53"/>
          </w:p>
        </w:tc>
        <w:tc>
          <w:tcPr>
            <w:tcW w:w="15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4" w:name="XBRL_CS_be383ab108bc4118ae2922d0ed9ee3a7"/>
            <w:bookmarkEnd w:id="54"/>
            <w:bookmarkStart w:id="55" w:name="be383ab108bc4118ae2922d0ed9ee3a7"/>
            <w:r>
              <w:rPr>
                <w:rFonts w:ascii="Arial Narrow" w:eastAsia="Arial Narrow" w:hAnsi="Arial Narrow" w:cs="Arial Narrow"/>
                <w:b w:val="0"/>
                <w:i w:val="0"/>
                <w:strike w:val="0"/>
                <w:color w:val="000000"/>
                <w:sz w:val="16"/>
                <w:u w:val="none"/>
                <w:vertAlign w:val="baseline"/>
              </w:rPr>
              <w:t>581,089</w:t>
            </w:r>
            <w:bookmarkStart w:id="56" w:name="XBRL_CE_be383ab108bc4118ae2922d0ed9ee3a7"/>
            <w:bookmarkEnd w:id="55"/>
            <w:bookmarkEnd w:id="56"/>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Vērtības samazinājums</w:t>
            </w:r>
          </w:p>
        </w:tc>
        <w:tc>
          <w:tcPr>
            <w:tcW w:w="72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8</w:t>
            </w: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7" w:name="XBRL_CS_ac07a4f7ac234401b76d36bb00d22e94"/>
            <w:bookmarkEnd w:id="57"/>
            <w:bookmarkStart w:id="58" w:name="ac07a4f7ac234401b76d36bb00d22e94"/>
            <w:r>
              <w:rPr>
                <w:rFonts w:ascii="Arial Narrow" w:eastAsia="Arial Narrow" w:hAnsi="Arial Narrow" w:cs="Arial Narrow"/>
                <w:b w:val="0"/>
                <w:i w:val="0"/>
                <w:strike w:val="0"/>
                <w:color w:val="000000"/>
                <w:sz w:val="16"/>
                <w:u w:val="none"/>
                <w:vertAlign w:val="baseline"/>
              </w:rPr>
              <w:t>(1,847,759)</w:t>
            </w:r>
            <w:bookmarkStart w:id="59" w:name="XBRL_CE_ac07a4f7ac234401b76d36bb00d22e94"/>
            <w:bookmarkEnd w:id="58"/>
            <w:bookmarkEnd w:id="59"/>
          </w:p>
        </w:tc>
        <w:tc>
          <w:tcPr>
            <w:tcW w:w="15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0" w:name="XBRL_CS_1c3a66daed314654906da780455b4985"/>
            <w:bookmarkEnd w:id="60"/>
            <w:bookmarkStart w:id="61" w:name="1c3a66daed314654906da780455b4985"/>
            <w:r>
              <w:rPr>
                <w:rFonts w:ascii="Arial Narrow" w:eastAsia="Arial Narrow" w:hAnsi="Arial Narrow" w:cs="Arial Narrow"/>
                <w:b w:val="0"/>
                <w:i w:val="0"/>
                <w:strike w:val="0"/>
                <w:color w:val="000000"/>
                <w:sz w:val="16"/>
                <w:u w:val="none"/>
                <w:vertAlign w:val="baseline"/>
              </w:rPr>
              <w:t>(2,156,835)</w:t>
            </w:r>
            <w:bookmarkStart w:id="62" w:name="XBRL_CE_1c3a66daed314654906da780455b4985"/>
            <w:bookmarkEnd w:id="61"/>
            <w:bookmarkEnd w:id="62"/>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Neto peļņa/(zaudējumi) no amortizētajā iegādes vērtībā novērtētu finanšu aktīvu atzīšanas pārtraukšanas</w:t>
            </w:r>
          </w:p>
        </w:tc>
        <w:tc>
          <w:tcPr>
            <w:tcW w:w="72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9</w:t>
            </w: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3" w:name="XBRL_CS_f53e406fea074ceead7a27037446d186"/>
            <w:bookmarkEnd w:id="63"/>
            <w:bookmarkStart w:id="64" w:name="f53e406fea074ceead7a27037446d186"/>
            <w:r>
              <w:rPr>
                <w:rFonts w:ascii="Arial Narrow" w:eastAsia="Arial Narrow" w:hAnsi="Arial Narrow" w:cs="Arial Narrow"/>
                <w:b w:val="0"/>
                <w:i w:val="0"/>
                <w:strike w:val="0"/>
                <w:color w:val="000000"/>
                <w:sz w:val="16"/>
                <w:u w:val="none"/>
                <w:vertAlign w:val="baseline"/>
              </w:rPr>
              <w:t>2,072,246</w:t>
            </w:r>
            <w:bookmarkStart w:id="65" w:name="XBRL_CE_f53e406fea074ceead7a27037446d186"/>
            <w:bookmarkEnd w:id="64"/>
            <w:bookmarkEnd w:id="65"/>
          </w:p>
        </w:tc>
        <w:tc>
          <w:tcPr>
            <w:tcW w:w="15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6" w:name="XBRL_CS_472bef8509804da8a238ca1a4c2bfbe3"/>
            <w:bookmarkEnd w:id="66"/>
            <w:bookmarkStart w:id="67" w:name="472bef8509804da8a238ca1a4c2bfbe3"/>
            <w:r>
              <w:rPr>
                <w:rFonts w:ascii="Arial Narrow" w:eastAsia="Arial Narrow" w:hAnsi="Arial Narrow" w:cs="Arial Narrow"/>
                <w:b w:val="0"/>
                <w:i w:val="0"/>
                <w:strike w:val="0"/>
                <w:color w:val="000000"/>
                <w:sz w:val="16"/>
                <w:u w:val="none"/>
                <w:vertAlign w:val="baseline"/>
              </w:rPr>
              <w:t>584,633</w:t>
            </w:r>
            <w:bookmarkStart w:id="68" w:name="XBRL_CE_472bef8509804da8a238ca1a4c2bfbe3"/>
            <w:bookmarkEnd w:id="67"/>
            <w:bookmarkEnd w:id="68"/>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Ar savstarpējo kreditēšanas platformu pakalpojumiem saistītās izmaksas</w:t>
            </w:r>
          </w:p>
        </w:tc>
        <w:tc>
          <w:tcPr>
            <w:tcW w:w="72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w:t>
            </w: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9" w:name="XBRL_CS_9ffdac62ef754e4182391b8af7491d49"/>
            <w:bookmarkEnd w:id="69"/>
            <w:bookmarkStart w:id="70" w:name="9ffdac62ef754e4182391b8af7491d49"/>
            <w:r>
              <w:rPr>
                <w:rFonts w:ascii="Arial Narrow" w:eastAsia="Arial Narrow" w:hAnsi="Arial Narrow" w:cs="Arial Narrow"/>
                <w:b w:val="0"/>
                <w:i w:val="0"/>
                <w:strike w:val="0"/>
                <w:color w:val="000000"/>
                <w:sz w:val="16"/>
                <w:u w:val="none"/>
                <w:vertAlign w:val="baseline"/>
              </w:rPr>
              <w:t>(126,554)</w:t>
            </w:r>
            <w:bookmarkStart w:id="71" w:name="XBRL_CE_9ffdac62ef754e4182391b8af7491d49"/>
            <w:bookmarkEnd w:id="70"/>
            <w:bookmarkEnd w:id="71"/>
          </w:p>
        </w:tc>
        <w:tc>
          <w:tcPr>
            <w:tcW w:w="15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72" w:name="XBRL_CS_d6ac75a868d0442a826b64a92c0b04ff"/>
            <w:bookmarkEnd w:id="72"/>
            <w:bookmarkStart w:id="73" w:name="d6ac75a868d0442a826b64a92c0b04ff"/>
            <w:r>
              <w:rPr>
                <w:rFonts w:ascii="Arial Narrow" w:eastAsia="Arial Narrow" w:hAnsi="Arial Narrow" w:cs="Arial Narrow"/>
                <w:b w:val="0"/>
                <w:i w:val="0"/>
                <w:strike w:val="0"/>
                <w:color w:val="000000"/>
                <w:sz w:val="16"/>
                <w:u w:val="none"/>
                <w:vertAlign w:val="baseline"/>
              </w:rPr>
              <w:t>(188,084)</w:t>
            </w:r>
            <w:bookmarkStart w:id="74" w:name="XBRL_CE_d6ac75a868d0442a826b64a92c0b04ff"/>
            <w:bookmarkEnd w:id="73"/>
            <w:bookmarkEnd w:id="74"/>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Ieņēmumi no automašīnu pārdošanas</w:t>
            </w:r>
          </w:p>
        </w:tc>
        <w:tc>
          <w:tcPr>
            <w:tcW w:w="72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w:t>
            </w: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75" w:name="XBRL_CS_deff1f315a024d3ab6eb6a1f1f69dbca"/>
            <w:bookmarkEnd w:id="75"/>
            <w:bookmarkStart w:id="76" w:name="deff1f315a024d3ab6eb6a1f1f69dbca"/>
            <w:r>
              <w:rPr>
                <w:rFonts w:ascii="Arial Narrow" w:eastAsia="Arial Narrow" w:hAnsi="Arial Narrow" w:cs="Arial Narrow"/>
                <w:b w:val="0"/>
                <w:i w:val="0"/>
                <w:strike w:val="0"/>
                <w:color w:val="000000"/>
                <w:sz w:val="16"/>
                <w:u w:val="none"/>
                <w:vertAlign w:val="baseline"/>
              </w:rPr>
              <w:t>3,777,225</w:t>
            </w:r>
            <w:bookmarkStart w:id="77" w:name="XBRL_CE_deff1f315a024d3ab6eb6a1f1f69dbca"/>
            <w:bookmarkEnd w:id="76"/>
            <w:bookmarkEnd w:id="77"/>
          </w:p>
        </w:tc>
        <w:tc>
          <w:tcPr>
            <w:tcW w:w="15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78" w:name="XBRL_CS_9fb4c8a26729466bb5ebd77821513630"/>
            <w:bookmarkEnd w:id="78"/>
            <w:bookmarkStart w:id="79" w:name="9fb4c8a26729466bb5ebd77821513630"/>
            <w:r>
              <w:rPr>
                <w:rFonts w:ascii="Arial Narrow" w:eastAsia="Arial Narrow" w:hAnsi="Arial Narrow" w:cs="Arial Narrow"/>
                <w:b w:val="0"/>
                <w:i w:val="0"/>
                <w:strike w:val="0"/>
                <w:color w:val="000000"/>
                <w:sz w:val="16"/>
                <w:u w:val="none"/>
                <w:vertAlign w:val="baseline"/>
              </w:rPr>
              <w:t>4,084,877</w:t>
            </w:r>
            <w:bookmarkStart w:id="80" w:name="XBRL_CE_9fb4c8a26729466bb5ebd77821513630"/>
            <w:bookmarkEnd w:id="79"/>
            <w:bookmarkEnd w:id="80"/>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Automašīnu pārdošanas izmaksas</w:t>
            </w:r>
          </w:p>
        </w:tc>
        <w:tc>
          <w:tcPr>
            <w:tcW w:w="72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w:t>
            </w: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1" w:name="XBRL_CS_583892f5aad84fcc995d2dedc3b186aa"/>
            <w:bookmarkEnd w:id="81"/>
            <w:bookmarkStart w:id="82" w:name="583892f5aad84fcc995d2dedc3b186aa"/>
            <w:r>
              <w:rPr>
                <w:rFonts w:ascii="Arial Narrow" w:eastAsia="Arial Narrow" w:hAnsi="Arial Narrow" w:cs="Arial Narrow"/>
                <w:b w:val="0"/>
                <w:i w:val="0"/>
                <w:strike w:val="0"/>
                <w:color w:val="000000"/>
                <w:sz w:val="16"/>
                <w:u w:val="none"/>
                <w:vertAlign w:val="baseline"/>
              </w:rPr>
              <w:t>(3,889,443)</w:t>
            </w:r>
            <w:bookmarkStart w:id="83" w:name="XBRL_CE_583892f5aad84fcc995d2dedc3b186aa"/>
            <w:bookmarkEnd w:id="82"/>
            <w:bookmarkEnd w:id="83"/>
          </w:p>
        </w:tc>
        <w:tc>
          <w:tcPr>
            <w:tcW w:w="15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4" w:name="XBRL_CS_0346678473d14aeaae8679ca1b91d6a4"/>
            <w:bookmarkEnd w:id="84"/>
            <w:bookmarkStart w:id="85" w:name="0346678473d14aeaae8679ca1b91d6a4"/>
            <w:r>
              <w:rPr>
                <w:rFonts w:ascii="Arial Narrow" w:eastAsia="Arial Narrow" w:hAnsi="Arial Narrow" w:cs="Arial Narrow"/>
                <w:b w:val="0"/>
                <w:i w:val="0"/>
                <w:strike w:val="0"/>
                <w:color w:val="000000"/>
                <w:sz w:val="16"/>
                <w:u w:val="none"/>
                <w:vertAlign w:val="baseline"/>
              </w:rPr>
              <w:t>(5,344,165)</w:t>
            </w:r>
            <w:bookmarkStart w:id="86" w:name="XBRL_CE_0346678473d14aeaae8679ca1b91d6a4"/>
            <w:bookmarkEnd w:id="85"/>
            <w:bookmarkEnd w:id="86"/>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Pārdošanas izmaksas</w:t>
            </w:r>
          </w:p>
        </w:tc>
        <w:tc>
          <w:tcPr>
            <w:tcW w:w="72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12</w:t>
            </w: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7" w:name="XBRL_CS_afd91845d7e345a0ad13cf4419f6ec88"/>
            <w:bookmarkEnd w:id="87"/>
            <w:bookmarkStart w:id="88" w:name="afd91845d7e345a0ad13cf4419f6ec88"/>
            <w:r>
              <w:rPr>
                <w:rFonts w:ascii="Arial Narrow" w:eastAsia="Arial Narrow" w:hAnsi="Arial Narrow" w:cs="Arial Narrow"/>
                <w:b w:val="0"/>
                <w:i w:val="0"/>
                <w:strike w:val="0"/>
                <w:color w:val="000000"/>
                <w:sz w:val="16"/>
                <w:u w:val="none"/>
                <w:vertAlign w:val="baseline"/>
              </w:rPr>
              <w:t>(154,229)</w:t>
            </w:r>
            <w:bookmarkStart w:id="89" w:name="XBRL_CE_afd91845d7e345a0ad13cf4419f6ec88"/>
            <w:bookmarkEnd w:id="88"/>
            <w:bookmarkEnd w:id="89"/>
          </w:p>
        </w:tc>
        <w:tc>
          <w:tcPr>
            <w:tcW w:w="15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0" w:name="XBRL_CS_b82f4ffd1bd54bf8867f68bad3ec1c5f"/>
            <w:bookmarkEnd w:id="90"/>
            <w:bookmarkStart w:id="91" w:name="b82f4ffd1bd54bf8867f68bad3ec1c5f"/>
            <w:r>
              <w:rPr>
                <w:rFonts w:ascii="Arial Narrow" w:eastAsia="Arial Narrow" w:hAnsi="Arial Narrow" w:cs="Arial Narrow"/>
                <w:b w:val="0"/>
                <w:i w:val="0"/>
                <w:strike w:val="0"/>
                <w:color w:val="000000"/>
                <w:sz w:val="16"/>
                <w:u w:val="none"/>
                <w:vertAlign w:val="baseline"/>
              </w:rPr>
              <w:t>(112,152)</w:t>
            </w:r>
            <w:bookmarkStart w:id="92" w:name="XBRL_CE_b82f4ffd1bd54bf8867f68bad3ec1c5f"/>
            <w:bookmarkEnd w:id="91"/>
            <w:bookmarkEnd w:id="92"/>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Administrācijas izdevumi</w:t>
            </w:r>
          </w:p>
        </w:tc>
        <w:tc>
          <w:tcPr>
            <w:tcW w:w="72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13</w:t>
            </w: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3" w:name="XBRL_CS_07d4bbeba43540eb88858605714eb1e8"/>
            <w:bookmarkEnd w:id="93"/>
            <w:bookmarkStart w:id="94" w:name="07d4bbeba43540eb88858605714eb1e8"/>
            <w:r>
              <w:rPr>
                <w:rFonts w:ascii="Arial Narrow" w:eastAsia="Arial Narrow" w:hAnsi="Arial Narrow" w:cs="Arial Narrow"/>
                <w:b w:val="0"/>
                <w:i w:val="0"/>
                <w:strike w:val="0"/>
                <w:color w:val="000000"/>
                <w:sz w:val="16"/>
                <w:u w:val="none"/>
                <w:vertAlign w:val="baseline"/>
              </w:rPr>
              <w:t>(5,636,788)</w:t>
            </w:r>
            <w:bookmarkStart w:id="95" w:name="XBRL_CE_07d4bbeba43540eb88858605714eb1e8"/>
            <w:bookmarkEnd w:id="94"/>
            <w:bookmarkEnd w:id="95"/>
          </w:p>
        </w:tc>
        <w:tc>
          <w:tcPr>
            <w:tcW w:w="15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6" w:name="XBRL_CS_b0f0784e631946c6ab673cf8e5780c85"/>
            <w:bookmarkEnd w:id="96"/>
            <w:bookmarkStart w:id="97" w:name="b0f0784e631946c6ab673cf8e5780c85"/>
            <w:r>
              <w:rPr>
                <w:rFonts w:ascii="Arial Narrow" w:eastAsia="Arial Narrow" w:hAnsi="Arial Narrow" w:cs="Arial Narrow"/>
                <w:b w:val="0"/>
                <w:i w:val="0"/>
                <w:strike w:val="0"/>
                <w:color w:val="000000"/>
                <w:sz w:val="16"/>
                <w:u w:val="none"/>
                <w:vertAlign w:val="baseline"/>
              </w:rPr>
              <w:t>(5,506,704)</w:t>
            </w:r>
            <w:bookmarkStart w:id="98" w:name="XBRL_CE_b0f0784e631946c6ab673cf8e5780c85"/>
            <w:bookmarkEnd w:id="97"/>
            <w:bookmarkEnd w:id="98"/>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Pārējie saimnieciskās darbības ieņēmumi</w:t>
            </w:r>
          </w:p>
        </w:tc>
        <w:tc>
          <w:tcPr>
            <w:tcW w:w="72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14</w:t>
            </w: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9" w:name="XBRL_CS_5d9a2e57cee342fb8db08109bc27c818"/>
            <w:bookmarkEnd w:id="99"/>
            <w:bookmarkStart w:id="100" w:name="5d9a2e57cee342fb8db08109bc27c818"/>
            <w:r>
              <w:rPr>
                <w:rFonts w:ascii="Arial Narrow" w:eastAsia="Arial Narrow" w:hAnsi="Arial Narrow" w:cs="Arial Narrow"/>
                <w:b w:val="0"/>
                <w:i w:val="0"/>
                <w:strike w:val="0"/>
                <w:color w:val="000000"/>
                <w:sz w:val="16"/>
                <w:u w:val="none"/>
                <w:vertAlign w:val="baseline"/>
              </w:rPr>
              <w:t>2,415,400</w:t>
            </w:r>
            <w:bookmarkStart w:id="101" w:name="XBRL_CE_5d9a2e57cee342fb8db08109bc27c818"/>
            <w:bookmarkEnd w:id="100"/>
            <w:bookmarkEnd w:id="101"/>
          </w:p>
        </w:tc>
        <w:tc>
          <w:tcPr>
            <w:tcW w:w="15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2" w:name="XBRL_CS_afcdb1dae3794603944494311e890441"/>
            <w:bookmarkEnd w:id="102"/>
            <w:bookmarkStart w:id="103" w:name="afcdb1dae3794603944494311e890441"/>
            <w:r>
              <w:rPr>
                <w:rFonts w:ascii="Arial Narrow" w:eastAsia="Arial Narrow" w:hAnsi="Arial Narrow" w:cs="Arial Narrow"/>
                <w:b w:val="0"/>
                <w:i w:val="0"/>
                <w:strike w:val="0"/>
                <w:color w:val="000000"/>
                <w:sz w:val="16"/>
                <w:u w:val="none"/>
                <w:vertAlign w:val="baseline"/>
              </w:rPr>
              <w:t>2,431,010</w:t>
            </w:r>
            <w:bookmarkStart w:id="104" w:name="XBRL_CE_afcdb1dae3794603944494311e890441"/>
            <w:bookmarkEnd w:id="103"/>
            <w:bookmarkEnd w:id="104"/>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Pārējās saimnieciskās darbības izmaksas</w:t>
            </w:r>
          </w:p>
        </w:tc>
        <w:tc>
          <w:tcPr>
            <w:tcW w:w="72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15</w:t>
            </w: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5" w:name="XBRL_CS_d025a2c032b74d288ab6a43561734bcf"/>
            <w:bookmarkEnd w:id="105"/>
            <w:bookmarkStart w:id="106" w:name="d025a2c032b74d288ab6a43561734bcf"/>
            <w:r>
              <w:rPr>
                <w:rFonts w:ascii="Arial Narrow" w:eastAsia="Arial Narrow" w:hAnsi="Arial Narrow" w:cs="Arial Narrow"/>
                <w:b w:val="0"/>
                <w:i w:val="0"/>
                <w:strike w:val="0"/>
                <w:color w:val="000000"/>
                <w:sz w:val="16"/>
                <w:u w:val="none"/>
                <w:vertAlign w:val="baseline"/>
              </w:rPr>
              <w:t>(639,596)</w:t>
            </w:r>
            <w:bookmarkStart w:id="107" w:name="XBRL_CE_d025a2c032b74d288ab6a43561734bcf"/>
            <w:bookmarkEnd w:id="106"/>
            <w:bookmarkEnd w:id="107"/>
          </w:p>
        </w:tc>
        <w:tc>
          <w:tcPr>
            <w:tcW w:w="15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8" w:name="XBRL_CS_01117749f0d14a8cb1dec4e6457d1a93"/>
            <w:bookmarkEnd w:id="108"/>
            <w:bookmarkStart w:id="109" w:name="01117749f0d14a8cb1dec4e6457d1a93"/>
            <w:r>
              <w:rPr>
                <w:rFonts w:ascii="Arial Narrow" w:eastAsia="Arial Narrow" w:hAnsi="Arial Narrow" w:cs="Arial Narrow"/>
                <w:b w:val="0"/>
                <w:i w:val="0"/>
                <w:strike w:val="0"/>
                <w:color w:val="000000"/>
                <w:sz w:val="16"/>
                <w:u w:val="none"/>
                <w:vertAlign w:val="baseline"/>
              </w:rPr>
              <w:t>(379,887)</w:t>
            </w:r>
            <w:bookmarkStart w:id="110" w:name="XBRL_CE_01117749f0d14a8cb1dec4e6457d1a93"/>
            <w:bookmarkEnd w:id="109"/>
            <w:bookmarkEnd w:id="110"/>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Neto rezultāts no ārvalstu valūtas kursu svārstībām</w:t>
            </w:r>
          </w:p>
        </w:tc>
        <w:tc>
          <w:tcPr>
            <w:tcW w:w="72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11" w:name="XBRL_CS_6c35107b2c1a4f4c90d7d6d2a5fffb50"/>
            <w:bookmarkEnd w:id="111"/>
            <w:bookmarkStart w:id="112" w:name="6c35107b2c1a4f4c90d7d6d2a5fffb50"/>
            <w:r>
              <w:rPr>
                <w:rFonts w:ascii="Arial Narrow" w:eastAsia="Arial Narrow" w:hAnsi="Arial Narrow" w:cs="Arial Narrow"/>
                <w:b w:val="0"/>
                <w:i w:val="0"/>
                <w:strike w:val="0"/>
                <w:color w:val="000000"/>
                <w:sz w:val="16"/>
                <w:u w:val="none"/>
                <w:vertAlign w:val="baseline"/>
              </w:rPr>
              <w:t>(42,379)</w:t>
            </w:r>
            <w:bookmarkStart w:id="113" w:name="XBRL_CE_6c35107b2c1a4f4c90d7d6d2a5fffb50"/>
            <w:bookmarkEnd w:id="112"/>
            <w:bookmarkEnd w:id="113"/>
          </w:p>
        </w:tc>
        <w:tc>
          <w:tcPr>
            <w:tcW w:w="150" w:type="dxa"/>
            <w:tcBorders>
              <w:top w:val="nil"/>
              <w:left w:val="nil"/>
              <w:bottom w:val="single" w:sz="4" w:space="0" w:color="000000"/>
              <w:right w:val="nil"/>
              <w:tl2br w:val="nil"/>
              <w:tr2bl w:val="nil"/>
            </w:tcBorders>
            <w:shd w:val="clear" w:color="FFFFFF" w:fill="E2F0D9"/>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14" w:name="XBRL_CS_2ade1979ea2747ac948fb4aa9d3ff4b9"/>
            <w:bookmarkEnd w:id="114"/>
            <w:bookmarkStart w:id="115" w:name="2ade1979ea2747ac948fb4aa9d3ff4b9"/>
            <w:r>
              <w:rPr>
                <w:rFonts w:ascii="Arial Narrow" w:eastAsia="Arial Narrow" w:hAnsi="Arial Narrow" w:cs="Arial Narrow"/>
                <w:b w:val="0"/>
                <w:i w:val="0"/>
                <w:strike w:val="0"/>
                <w:color w:val="000000"/>
                <w:sz w:val="16"/>
                <w:u w:val="none"/>
                <w:vertAlign w:val="baseline"/>
              </w:rPr>
              <w:t>(6)</w:t>
            </w:r>
            <w:bookmarkStart w:id="116" w:name="XBRL_CE_2ade1979ea2747ac948fb4aa9d3ff4b9"/>
            <w:bookmarkEnd w:id="115"/>
            <w:bookmarkEnd w:id="116"/>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single" w:sz="4" w:space="0" w:color="000000"/>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Peļņa pirms nodokļiem</w:t>
            </w:r>
          </w:p>
        </w:tc>
        <w:tc>
          <w:tcPr>
            <w:tcW w:w="72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single" w:sz="4" w:space="0" w:color="000000"/>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17" w:name="XBRL_CS_2584b1aa9ded4e34a97a0374edc4162d"/>
            <w:bookmarkEnd w:id="117"/>
            <w:bookmarkStart w:id="118" w:name="2584b1aa9ded4e34a97a0374edc4162d"/>
            <w:r>
              <w:rPr>
                <w:rFonts w:ascii="Arial Narrow" w:eastAsia="Arial Narrow" w:hAnsi="Arial Narrow" w:cs="Arial Narrow"/>
                <w:b/>
                <w:i w:val="0"/>
                <w:strike w:val="0"/>
                <w:color w:val="000000"/>
                <w:sz w:val="16"/>
                <w:u w:val="none"/>
                <w:vertAlign w:val="baseline"/>
              </w:rPr>
              <w:t>5,556,933</w:t>
            </w:r>
            <w:bookmarkStart w:id="119" w:name="XBRL_CE_2584b1aa9ded4e34a97a0374edc4162d"/>
            <w:bookmarkEnd w:id="118"/>
            <w:bookmarkEnd w:id="119"/>
          </w:p>
        </w:tc>
        <w:tc>
          <w:tcPr>
            <w:tcW w:w="150" w:type="dxa"/>
            <w:tcBorders>
              <w:top w:val="single" w:sz="4" w:space="0" w:color="000000"/>
              <w:left w:val="nil"/>
              <w:bottom w:val="single" w:sz="4" w:space="0" w:color="000000"/>
              <w:right w:val="nil"/>
              <w:tl2br w:val="nil"/>
              <w:tr2bl w:val="nil"/>
            </w:tcBorders>
            <w:shd w:val="clear" w:color="FFFFFF" w:fill="DEEBF7"/>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0" w:type="dxa"/>
            <w:tcBorders>
              <w:top w:val="single" w:sz="4" w:space="0" w:color="000000"/>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20" w:name="XBRL_CS_8fa454869d9d4c37885b871f1895ccb5"/>
            <w:bookmarkEnd w:id="120"/>
            <w:bookmarkStart w:id="121" w:name="8fa454869d9d4c37885b871f1895ccb5"/>
            <w:r>
              <w:rPr>
                <w:rFonts w:ascii="Arial Narrow" w:eastAsia="Arial Narrow" w:hAnsi="Arial Narrow" w:cs="Arial Narrow"/>
                <w:b/>
                <w:i w:val="0"/>
                <w:strike w:val="0"/>
                <w:color w:val="000000"/>
                <w:sz w:val="16"/>
                <w:u w:val="none"/>
                <w:vertAlign w:val="baseline"/>
              </w:rPr>
              <w:t>5,565,879</w:t>
            </w:r>
            <w:bookmarkStart w:id="122" w:name="XBRL_CE_8fa454869d9d4c37885b871f1895ccb5"/>
            <w:bookmarkEnd w:id="121"/>
            <w:bookmarkEnd w:id="122"/>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single" w:sz="4" w:space="0" w:color="000000"/>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Pārskata perioda neto peļņa</w:t>
            </w:r>
          </w:p>
        </w:tc>
        <w:tc>
          <w:tcPr>
            <w:tcW w:w="72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single" w:sz="4" w:space="0" w:color="000000"/>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23" w:name="XBRL_CS_c9644543c919491ca26e6f9854bb70d8"/>
            <w:bookmarkEnd w:id="123"/>
            <w:bookmarkStart w:id="124" w:name="c9644543c919491ca26e6f9854bb70d8"/>
            <w:r>
              <w:rPr>
                <w:rFonts w:ascii="Arial Narrow" w:eastAsia="Arial Narrow" w:hAnsi="Arial Narrow" w:cs="Arial Narrow"/>
                <w:b/>
                <w:i w:val="0"/>
                <w:strike w:val="0"/>
                <w:color w:val="000000"/>
                <w:sz w:val="16"/>
                <w:u w:val="none"/>
                <w:vertAlign w:val="baseline"/>
              </w:rPr>
              <w:t>5,556,933</w:t>
            </w:r>
            <w:bookmarkStart w:id="125" w:name="XBRL_CE_c9644543c919491ca26e6f9854bb70d8"/>
            <w:bookmarkEnd w:id="124"/>
            <w:bookmarkEnd w:id="125"/>
          </w:p>
        </w:tc>
        <w:tc>
          <w:tcPr>
            <w:tcW w:w="150" w:type="dxa"/>
            <w:tcBorders>
              <w:top w:val="single" w:sz="4" w:space="0" w:color="000000"/>
              <w:left w:val="nil"/>
              <w:bottom w:val="single" w:sz="4" w:space="0" w:color="000000"/>
              <w:right w:val="nil"/>
              <w:tl2br w:val="nil"/>
              <w:tr2bl w:val="nil"/>
            </w:tcBorders>
            <w:shd w:val="clear" w:color="FFFFFF" w:fill="DEEBF7"/>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0" w:type="dxa"/>
            <w:tcBorders>
              <w:top w:val="single" w:sz="4" w:space="0" w:color="000000"/>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26" w:name="XBRL_CS_67f257e47a3d416d89ac4201dfeb928b"/>
            <w:bookmarkEnd w:id="126"/>
            <w:bookmarkStart w:id="127" w:name="67f257e47a3d416d89ac4201dfeb928b"/>
            <w:r>
              <w:rPr>
                <w:rFonts w:ascii="Arial Narrow" w:eastAsia="Arial Narrow" w:hAnsi="Arial Narrow" w:cs="Arial Narrow"/>
                <w:b/>
                <w:i w:val="0"/>
                <w:strike w:val="0"/>
                <w:color w:val="000000"/>
                <w:sz w:val="16"/>
                <w:u w:val="none"/>
                <w:vertAlign w:val="baseline"/>
              </w:rPr>
              <w:t>5,565,879</w:t>
            </w:r>
            <w:bookmarkStart w:id="128" w:name="XBRL_CE_67f257e47a3d416d89ac4201dfeb928b"/>
            <w:bookmarkEnd w:id="127"/>
            <w:bookmarkEnd w:id="128"/>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163"/>
        </w:trPr>
        <w:tc>
          <w:tcPr>
            <w:tcW w:w="57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72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Pārējie apvienotie zaudējumi:</w:t>
            </w:r>
          </w:p>
        </w:tc>
        <w:tc>
          <w:tcPr>
            <w:tcW w:w="72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Posteņi, kurus var pārklasificēt uz peļņu vai zaudējumiem:</w:t>
            </w:r>
          </w:p>
        </w:tc>
        <w:tc>
          <w:tcPr>
            <w:tcW w:w="72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FVOCI parāda instrumenti - neto izmaiņas patiesajā vērtībā </w:t>
            </w:r>
          </w:p>
        </w:tc>
        <w:tc>
          <w:tcPr>
            <w:tcW w:w="72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29" w:name="XBRL_CS_b528ee0435fb4d529163e4efa86a34c5"/>
            <w:bookmarkEnd w:id="129"/>
            <w:bookmarkStart w:id="130" w:name="b528ee0435fb4d529163e4efa86a34c5"/>
            <w:r>
              <w:rPr>
                <w:rFonts w:ascii="Arial Narrow" w:eastAsia="Arial Narrow" w:hAnsi="Arial Narrow" w:cs="Arial Narrow"/>
                <w:b w:val="0"/>
                <w:i w:val="0"/>
                <w:strike w:val="0"/>
                <w:color w:val="000000"/>
                <w:sz w:val="16"/>
                <w:u w:val="none"/>
                <w:vertAlign w:val="baseline"/>
              </w:rPr>
              <w:t>23,991</w:t>
            </w:r>
            <w:bookmarkStart w:id="131" w:name="XBRL_CE_b528ee0435fb4d529163e4efa86a34c5"/>
            <w:bookmarkEnd w:id="130"/>
            <w:bookmarkEnd w:id="131"/>
          </w:p>
        </w:tc>
        <w:tc>
          <w:tcPr>
            <w:tcW w:w="15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32" w:name="XBRL_CS_54f60bc998cf440b9fb6b3cd0cbdba27"/>
            <w:bookmarkEnd w:id="132"/>
            <w:bookmarkStart w:id="133" w:name="54f60bc998cf440b9fb6b3cd0cbdba27"/>
            <w:r>
              <w:rPr>
                <w:rFonts w:ascii="Arial Narrow" w:eastAsia="Arial Narrow" w:hAnsi="Arial Narrow" w:cs="Arial Narrow"/>
                <w:b w:val="0"/>
                <w:i w:val="0"/>
                <w:strike w:val="0"/>
                <w:color w:val="000000"/>
                <w:sz w:val="16"/>
                <w:u w:val="none"/>
                <w:vertAlign w:val="baseline"/>
              </w:rPr>
              <w:t>(23,991)</w:t>
            </w:r>
            <w:bookmarkStart w:id="134" w:name="XBRL_CE_54f60bc998cf440b9fb6b3cd0cbdba27"/>
            <w:bookmarkEnd w:id="133"/>
            <w:bookmarkEnd w:id="134"/>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Citi pārskata perioda apvienotie ienākumi pēc nodokļiem</w:t>
            </w:r>
          </w:p>
        </w:tc>
        <w:tc>
          <w:tcPr>
            <w:tcW w:w="72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00" w:type="dxa"/>
            <w:tcBorders>
              <w:top w:val="single" w:sz="4" w:space="0" w:color="000000"/>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35" w:name="XBRL_CS_f8b90f77c24a4ccb98a1277bc5986f08"/>
            <w:bookmarkEnd w:id="135"/>
            <w:bookmarkStart w:id="136" w:name="f8b90f77c24a4ccb98a1277bc5986f08"/>
            <w:r>
              <w:rPr>
                <w:rFonts w:ascii="Arial Narrow" w:eastAsia="Arial Narrow" w:hAnsi="Arial Narrow" w:cs="Arial Narrow"/>
                <w:b/>
                <w:i w:val="0"/>
                <w:strike w:val="0"/>
                <w:color w:val="000000"/>
                <w:sz w:val="16"/>
                <w:u w:val="none"/>
                <w:vertAlign w:val="baseline"/>
              </w:rPr>
              <w:t>23,991</w:t>
            </w:r>
            <w:bookmarkStart w:id="137" w:name="XBRL_CE_f8b90f77c24a4ccb98a1277bc5986f08"/>
            <w:bookmarkEnd w:id="136"/>
            <w:bookmarkEnd w:id="137"/>
          </w:p>
        </w:tc>
        <w:tc>
          <w:tcPr>
            <w:tcW w:w="150" w:type="dxa"/>
            <w:tcBorders>
              <w:top w:val="single" w:sz="4" w:space="0" w:color="000000"/>
              <w:left w:val="nil"/>
              <w:bottom w:val="single" w:sz="4" w:space="0" w:color="000000"/>
              <w:right w:val="nil"/>
              <w:tl2br w:val="nil"/>
              <w:tr2bl w:val="nil"/>
            </w:tcBorders>
            <w:shd w:val="clear" w:color="FFFFFF" w:fill="DEEBF7"/>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single" w:sz="4" w:space="0" w:color="000000"/>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38" w:name="XBRL_CS_ccd460dbabf1401090c9ca68a723e6c8"/>
            <w:bookmarkEnd w:id="138"/>
            <w:bookmarkStart w:id="139" w:name="ccd460dbabf1401090c9ca68a723e6c8"/>
            <w:r>
              <w:rPr>
                <w:rFonts w:ascii="Arial Narrow" w:eastAsia="Arial Narrow" w:hAnsi="Arial Narrow" w:cs="Arial Narrow"/>
                <w:b/>
                <w:i w:val="0"/>
                <w:strike w:val="0"/>
                <w:color w:val="000000"/>
                <w:sz w:val="16"/>
                <w:u w:val="none"/>
                <w:vertAlign w:val="baseline"/>
              </w:rPr>
              <w:t>(23,991)</w:t>
            </w:r>
            <w:bookmarkStart w:id="140" w:name="XBRL_CE_ccd460dbabf1401090c9ca68a723e6c8"/>
            <w:bookmarkEnd w:id="139"/>
            <w:bookmarkEnd w:id="140"/>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pārskata perioda apvienotie ienākumi pēc nodokļiem</w:t>
            </w:r>
          </w:p>
        </w:tc>
        <w:tc>
          <w:tcPr>
            <w:tcW w:w="72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single" w:sz="4" w:space="0" w:color="000000"/>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41" w:name="XBRL_CS_01941ecf61aa49559c374dd05c638d2a"/>
            <w:bookmarkEnd w:id="141"/>
            <w:bookmarkStart w:id="142" w:name="01941ecf61aa49559c374dd05c638d2a"/>
            <w:r>
              <w:rPr>
                <w:rFonts w:ascii="Arial Narrow" w:eastAsia="Arial Narrow" w:hAnsi="Arial Narrow" w:cs="Arial Narrow"/>
                <w:b/>
                <w:i w:val="0"/>
                <w:strike w:val="0"/>
                <w:color w:val="000000"/>
                <w:sz w:val="16"/>
                <w:u w:val="none"/>
                <w:vertAlign w:val="baseline"/>
              </w:rPr>
              <w:t>5,580,924</w:t>
            </w:r>
            <w:bookmarkStart w:id="143" w:name="XBRL_CE_01941ecf61aa49559c374dd05c638d2a"/>
            <w:bookmarkEnd w:id="142"/>
            <w:bookmarkEnd w:id="143"/>
          </w:p>
        </w:tc>
        <w:tc>
          <w:tcPr>
            <w:tcW w:w="150" w:type="dxa"/>
            <w:tcBorders>
              <w:top w:val="single" w:sz="4" w:space="0" w:color="000000"/>
              <w:left w:val="nil"/>
              <w:bottom w:val="single" w:sz="4" w:space="0" w:color="000000"/>
              <w:right w:val="nil"/>
              <w:tl2br w:val="nil"/>
              <w:tr2bl w:val="nil"/>
            </w:tcBorders>
            <w:shd w:val="clear" w:color="FFFFFF" w:fill="DEEBF7"/>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single" w:sz="4" w:space="0" w:color="000000"/>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44" w:name="XBRL_CS_cd867d9b46314d10b21b641d6c448c8c"/>
            <w:bookmarkEnd w:id="144"/>
            <w:bookmarkStart w:id="145" w:name="cd867d9b46314d10b21b641d6c448c8c"/>
            <w:r>
              <w:rPr>
                <w:rFonts w:ascii="Arial Narrow" w:eastAsia="Arial Narrow" w:hAnsi="Arial Narrow" w:cs="Arial Narrow"/>
                <w:b/>
                <w:i w:val="0"/>
                <w:strike w:val="0"/>
                <w:color w:val="000000"/>
                <w:sz w:val="16"/>
                <w:u w:val="none"/>
                <w:vertAlign w:val="baseline"/>
              </w:rPr>
              <w:t>5,541,888</w:t>
            </w:r>
            <w:bookmarkStart w:id="146" w:name="XBRL_CE_cd867d9b46314d10b21b641d6c448c8c"/>
            <w:bookmarkEnd w:id="145"/>
            <w:bookmarkEnd w:id="146"/>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163"/>
        </w:trPr>
        <w:tc>
          <w:tcPr>
            <w:tcW w:w="57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72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Peļņa, kas attiecināma uz:</w:t>
            </w:r>
          </w:p>
        </w:tc>
        <w:tc>
          <w:tcPr>
            <w:tcW w:w="72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Mātes sabiedrības akcionāriem</w:t>
            </w:r>
          </w:p>
        </w:tc>
        <w:tc>
          <w:tcPr>
            <w:tcW w:w="72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single" w:sz="4" w:space="0" w:color="000000"/>
              <w:left w:val="nil"/>
              <w:bottom w:val="nil"/>
              <w:right w:val="nil"/>
              <w:tl2br w:val="nil"/>
              <w:tr2bl w:val="nil"/>
            </w:tcBorders>
            <w:shd w:val="clear" w:color="FFFFFF" w:fill="E2F0D9"/>
            <w:noWrap/>
            <w:tcMar>
              <w:left w:w="40" w:type="dxa"/>
              <w:right w:w="85"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47" w:name="XBRL_CS_e5f9f23702df412b8251b279d9af6893"/>
            <w:bookmarkEnd w:id="147"/>
            <w:bookmarkStart w:id="148" w:name="e5f9f23702df412b8251b279d9af6893"/>
            <w:r>
              <w:rPr>
                <w:rFonts w:ascii="Arial Narrow" w:eastAsia="Arial Narrow" w:hAnsi="Arial Narrow" w:cs="Arial Narrow"/>
                <w:b w:val="0"/>
                <w:i w:val="0"/>
                <w:strike w:val="0"/>
                <w:color w:val="000000"/>
                <w:sz w:val="16"/>
                <w:u w:val="none"/>
                <w:vertAlign w:val="baseline"/>
              </w:rPr>
              <w:t>5,445,794</w:t>
            </w:r>
            <w:bookmarkStart w:id="149" w:name="XBRL_CE_e5f9f23702df412b8251b279d9af6893"/>
            <w:bookmarkEnd w:id="148"/>
            <w:bookmarkEnd w:id="149"/>
          </w:p>
        </w:tc>
        <w:tc>
          <w:tcPr>
            <w:tcW w:w="15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50" w:name="XBRL_CS_b434b8eb5ae045cb82685a64801195a5"/>
            <w:bookmarkEnd w:id="150"/>
            <w:bookmarkStart w:id="151" w:name="b434b8eb5ae045cb82685a64801195a5"/>
            <w:r>
              <w:rPr>
                <w:rFonts w:ascii="Arial Narrow" w:eastAsia="Arial Narrow" w:hAnsi="Arial Narrow" w:cs="Arial Narrow"/>
                <w:b w:val="0"/>
                <w:i w:val="0"/>
                <w:strike w:val="0"/>
                <w:color w:val="000000"/>
                <w:sz w:val="16"/>
                <w:u w:val="none"/>
                <w:vertAlign w:val="baseline"/>
              </w:rPr>
              <w:t>5,454,561</w:t>
            </w:r>
            <w:bookmarkStart w:id="152" w:name="XBRL_CE_b434b8eb5ae045cb82685a64801195a5"/>
            <w:bookmarkEnd w:id="151"/>
            <w:bookmarkEnd w:id="152"/>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Nekontrolējošo līdzdalību</w:t>
            </w:r>
          </w:p>
        </w:tc>
        <w:tc>
          <w:tcPr>
            <w:tcW w:w="72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single" w:sz="4" w:space="0" w:color="000000"/>
              <w:right w:val="nil"/>
              <w:tl2br w:val="nil"/>
              <w:tr2bl w:val="nil"/>
            </w:tcBorders>
            <w:shd w:val="clear" w:color="FFFFFF" w:fill="E2F0D9"/>
            <w:noWrap/>
            <w:tcMar>
              <w:left w:w="40" w:type="dxa"/>
              <w:right w:w="85"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53" w:name="XBRL_CS_c3c1936e67bc4ab08612676437b8274e"/>
            <w:bookmarkEnd w:id="153"/>
            <w:bookmarkStart w:id="154" w:name="c3c1936e67bc4ab08612676437b8274e"/>
            <w:r>
              <w:rPr>
                <w:rFonts w:ascii="Arial Narrow" w:eastAsia="Arial Narrow" w:hAnsi="Arial Narrow" w:cs="Arial Narrow"/>
                <w:b w:val="0"/>
                <w:i w:val="0"/>
                <w:strike w:val="0"/>
                <w:color w:val="000000"/>
                <w:sz w:val="16"/>
                <w:u w:val="none"/>
                <w:vertAlign w:val="baseline"/>
              </w:rPr>
              <w:t>111,139</w:t>
            </w:r>
            <w:bookmarkStart w:id="155" w:name="XBRL_CE_c3c1936e67bc4ab08612676437b8274e"/>
            <w:bookmarkEnd w:id="154"/>
            <w:bookmarkEnd w:id="155"/>
          </w:p>
        </w:tc>
        <w:tc>
          <w:tcPr>
            <w:tcW w:w="15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56" w:name="XBRL_CS_ab015d9a5a7641d8a3cb03c693f1cd68"/>
            <w:bookmarkEnd w:id="156"/>
            <w:bookmarkStart w:id="157" w:name="ab015d9a5a7641d8a3cb03c693f1cd68"/>
            <w:r>
              <w:rPr>
                <w:rFonts w:ascii="Arial Narrow" w:eastAsia="Arial Narrow" w:hAnsi="Arial Narrow" w:cs="Arial Narrow"/>
                <w:b w:val="0"/>
                <w:i w:val="0"/>
                <w:strike w:val="0"/>
                <w:color w:val="000000"/>
                <w:sz w:val="16"/>
                <w:u w:val="none"/>
                <w:vertAlign w:val="baseline"/>
              </w:rPr>
              <w:t>111,318</w:t>
            </w:r>
            <w:bookmarkStart w:id="158" w:name="XBRL_CE_ab015d9a5a7641d8a3cb03c693f1cd68"/>
            <w:bookmarkEnd w:id="157"/>
            <w:bookmarkEnd w:id="158"/>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Pārskata gada neto peļņa</w:t>
            </w:r>
          </w:p>
        </w:tc>
        <w:tc>
          <w:tcPr>
            <w:tcW w:w="72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single" w:sz="4" w:space="0" w:color="000000"/>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59" w:name="XBRL_CS_3aa3f0767d3d4a7583dd8931db6eac66"/>
            <w:bookmarkEnd w:id="159"/>
            <w:bookmarkStart w:id="160" w:name="3aa3f0767d3d4a7583dd8931db6eac66"/>
            <w:r>
              <w:rPr>
                <w:rFonts w:ascii="Arial Narrow" w:eastAsia="Arial Narrow" w:hAnsi="Arial Narrow" w:cs="Arial Narrow"/>
                <w:b/>
                <w:i w:val="0"/>
                <w:strike w:val="0"/>
                <w:color w:val="000000"/>
                <w:sz w:val="16"/>
                <w:u w:val="none"/>
                <w:vertAlign w:val="baseline"/>
              </w:rPr>
              <w:t>5,556,933</w:t>
            </w:r>
            <w:bookmarkStart w:id="161" w:name="XBRL_CE_3aa3f0767d3d4a7583dd8931db6eac66"/>
            <w:bookmarkEnd w:id="160"/>
            <w:bookmarkEnd w:id="161"/>
          </w:p>
        </w:tc>
        <w:tc>
          <w:tcPr>
            <w:tcW w:w="150" w:type="dxa"/>
            <w:tcBorders>
              <w:top w:val="single" w:sz="4" w:space="0" w:color="000000"/>
              <w:left w:val="nil"/>
              <w:bottom w:val="single" w:sz="4" w:space="0" w:color="000000"/>
              <w:right w:val="nil"/>
              <w:tl2br w:val="nil"/>
              <w:tr2bl w:val="nil"/>
            </w:tcBorders>
            <w:shd w:val="clear" w:color="FFFFFF" w:fill="DEEBF7"/>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single" w:sz="4" w:space="0" w:color="000000"/>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62" w:name="XBRL_CS_5aab2c9e2d3d472aaf3b120cdc74d950"/>
            <w:bookmarkEnd w:id="162"/>
            <w:bookmarkStart w:id="163" w:name="5aab2c9e2d3d472aaf3b120cdc74d950"/>
            <w:r>
              <w:rPr>
                <w:rFonts w:ascii="Arial Narrow" w:eastAsia="Arial Narrow" w:hAnsi="Arial Narrow" w:cs="Arial Narrow"/>
                <w:b/>
                <w:i w:val="0"/>
                <w:strike w:val="0"/>
                <w:color w:val="000000"/>
                <w:sz w:val="16"/>
                <w:u w:val="none"/>
                <w:vertAlign w:val="baseline"/>
              </w:rPr>
              <w:t>5,565,879</w:t>
            </w:r>
            <w:bookmarkStart w:id="164" w:name="XBRL_CE_5aab2c9e2d3d472aaf3b120cdc74d950"/>
            <w:bookmarkEnd w:id="163"/>
            <w:bookmarkEnd w:id="164"/>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163"/>
        </w:trPr>
        <w:tc>
          <w:tcPr>
            <w:tcW w:w="57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72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Pārējie apvienotie zaudējumi, kas attiecināmi uz:</w:t>
            </w:r>
          </w:p>
        </w:tc>
        <w:tc>
          <w:tcPr>
            <w:tcW w:w="72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Mātes sabiedrības akcionāriem</w:t>
            </w:r>
          </w:p>
        </w:tc>
        <w:tc>
          <w:tcPr>
            <w:tcW w:w="72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65" w:name="XBRL_CS_42e17a58698945f8a24d4ed853334be6"/>
            <w:bookmarkEnd w:id="165"/>
            <w:bookmarkStart w:id="166" w:name="42e17a58698945f8a24d4ed853334be6"/>
            <w:r>
              <w:rPr>
                <w:rFonts w:ascii="Arial Narrow" w:eastAsia="Arial Narrow" w:hAnsi="Arial Narrow" w:cs="Arial Narrow"/>
                <w:b w:val="0"/>
                <w:i w:val="0"/>
                <w:strike w:val="0"/>
                <w:color w:val="000000"/>
                <w:sz w:val="16"/>
                <w:u w:val="none"/>
                <w:vertAlign w:val="baseline"/>
              </w:rPr>
              <w:t>5,469,306</w:t>
            </w:r>
            <w:bookmarkStart w:id="167" w:name="XBRL_CE_42e17a58698945f8a24d4ed853334be6"/>
            <w:bookmarkEnd w:id="166"/>
            <w:bookmarkEnd w:id="167"/>
          </w:p>
        </w:tc>
        <w:tc>
          <w:tcPr>
            <w:tcW w:w="15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68" w:name="XBRL_CS_de08fd63901e43e5b47296a295ec59f1"/>
            <w:bookmarkEnd w:id="168"/>
            <w:bookmarkStart w:id="169" w:name="de08fd63901e43e5b47296a295ec59f1"/>
            <w:r>
              <w:rPr>
                <w:rFonts w:ascii="Arial Narrow" w:eastAsia="Arial Narrow" w:hAnsi="Arial Narrow" w:cs="Arial Narrow"/>
                <w:b w:val="0"/>
                <w:i w:val="0"/>
                <w:strike w:val="0"/>
                <w:color w:val="000000"/>
                <w:sz w:val="16"/>
                <w:u w:val="none"/>
                <w:vertAlign w:val="baseline"/>
              </w:rPr>
              <w:t>5,431,050</w:t>
            </w:r>
            <w:bookmarkStart w:id="170" w:name="XBRL_CE_de08fd63901e43e5b47296a295ec59f1"/>
            <w:bookmarkEnd w:id="169"/>
            <w:bookmarkEnd w:id="170"/>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Nekontrolējošo līdzdalību</w:t>
            </w:r>
          </w:p>
        </w:tc>
        <w:tc>
          <w:tcPr>
            <w:tcW w:w="72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71" w:name="XBRL_CS_78753e40adf8428ba42f6a96761b0b98"/>
            <w:bookmarkEnd w:id="171"/>
            <w:bookmarkStart w:id="172" w:name="78753e40adf8428ba42f6a96761b0b98"/>
            <w:r>
              <w:rPr>
                <w:rFonts w:ascii="Arial Narrow" w:eastAsia="Arial Narrow" w:hAnsi="Arial Narrow" w:cs="Arial Narrow"/>
                <w:b w:val="0"/>
                <w:i w:val="0"/>
                <w:strike w:val="0"/>
                <w:color w:val="000000"/>
                <w:sz w:val="16"/>
                <w:u w:val="none"/>
                <w:vertAlign w:val="baseline"/>
              </w:rPr>
              <w:t>111,618</w:t>
            </w:r>
            <w:bookmarkStart w:id="173" w:name="XBRL_CE_78753e40adf8428ba42f6a96761b0b98"/>
            <w:bookmarkEnd w:id="172"/>
            <w:bookmarkEnd w:id="173"/>
          </w:p>
        </w:tc>
        <w:tc>
          <w:tcPr>
            <w:tcW w:w="15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74" w:name="XBRL_CS_fb6d38a5cfa7481fa52f527286d6ff29"/>
            <w:bookmarkEnd w:id="174"/>
            <w:bookmarkStart w:id="175" w:name="fb6d38a5cfa7481fa52f527286d6ff29"/>
            <w:r>
              <w:rPr>
                <w:rFonts w:ascii="Arial Narrow" w:eastAsia="Arial Narrow" w:hAnsi="Arial Narrow" w:cs="Arial Narrow"/>
                <w:b w:val="0"/>
                <w:i w:val="0"/>
                <w:strike w:val="0"/>
                <w:color w:val="000000"/>
                <w:sz w:val="16"/>
                <w:u w:val="none"/>
                <w:vertAlign w:val="baseline"/>
              </w:rPr>
              <w:t>110,838</w:t>
            </w:r>
            <w:bookmarkStart w:id="176" w:name="XBRL_CE_fb6d38a5cfa7481fa52f527286d6ff29"/>
            <w:bookmarkEnd w:id="175"/>
            <w:bookmarkEnd w:id="176"/>
          </w:p>
        </w:tc>
      </w:tr>
      <w:tr>
        <w:tblPrEx>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7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Pārskata gada apvienotie ienākumi pēc nodokļiem</w:t>
            </w:r>
          </w:p>
        </w:tc>
        <w:tc>
          <w:tcPr>
            <w:tcW w:w="72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single" w:sz="4" w:space="0" w:color="000000"/>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77" w:name="XBRL_CS_5384a97e3c104c558dc1475a4d7c1fd8"/>
            <w:bookmarkEnd w:id="177"/>
            <w:bookmarkStart w:id="178" w:name="5384a97e3c104c558dc1475a4d7c1fd8"/>
            <w:r>
              <w:rPr>
                <w:rFonts w:ascii="Arial Narrow" w:eastAsia="Arial Narrow" w:hAnsi="Arial Narrow" w:cs="Arial Narrow"/>
                <w:b/>
                <w:i w:val="0"/>
                <w:strike w:val="0"/>
                <w:color w:val="000000"/>
                <w:sz w:val="16"/>
                <w:u w:val="none"/>
                <w:vertAlign w:val="baseline"/>
              </w:rPr>
              <w:t>5,580,924</w:t>
            </w:r>
            <w:bookmarkStart w:id="179" w:name="XBRL_CE_5384a97e3c104c558dc1475a4d7c1fd8"/>
            <w:bookmarkEnd w:id="178"/>
            <w:bookmarkEnd w:id="179"/>
          </w:p>
        </w:tc>
        <w:tc>
          <w:tcPr>
            <w:tcW w:w="150" w:type="dxa"/>
            <w:tcBorders>
              <w:top w:val="single" w:sz="4" w:space="0" w:color="000000"/>
              <w:left w:val="nil"/>
              <w:bottom w:val="single" w:sz="4" w:space="0" w:color="000000"/>
              <w:right w:val="nil"/>
              <w:tl2br w:val="nil"/>
              <w:tr2bl w:val="nil"/>
            </w:tcBorders>
            <w:shd w:val="clear" w:color="FFFFFF" w:fill="DEEBF7"/>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tcBorders>
              <w:top w:val="single" w:sz="4" w:space="0" w:color="000000"/>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80" w:name="XBRL_CS_a98a2ab5cf554c8a85d13c865d822880"/>
            <w:bookmarkEnd w:id="180"/>
            <w:bookmarkStart w:id="181" w:name="a98a2ab5cf554c8a85d13c865d822880"/>
            <w:r>
              <w:rPr>
                <w:rFonts w:ascii="Arial Narrow" w:eastAsia="Arial Narrow" w:hAnsi="Arial Narrow" w:cs="Arial Narrow"/>
                <w:b/>
                <w:i w:val="0"/>
                <w:strike w:val="0"/>
                <w:color w:val="000000"/>
                <w:sz w:val="16"/>
                <w:u w:val="none"/>
                <w:vertAlign w:val="baseline"/>
              </w:rPr>
              <w:t>5,541,888</w:t>
            </w:r>
            <w:bookmarkStart w:id="182" w:name="XBRL_CE_a98a2ab5cf554c8a85d13c865d822880"/>
            <w:bookmarkEnd w:id="181"/>
            <w:bookmarkEnd w:id="182"/>
          </w:p>
        </w:tc>
      </w:tr>
    </w:tbl>
    <w:p>
      <w:pPr>
        <w:spacing w:before="0" w:beforeAutospacing="0" w:after="0" w:afterAutospacing="0" w:line="240" w:lineRule="auto"/>
        <w:rPr>
          <w:rFonts w:ascii="Arial Narrow" w:eastAsia="Arial Narrow" w:hAnsi="Arial Narrow" w:cs="Arial Narrow"/>
          <w:sz w:val="16"/>
        </w:rPr>
      </w:pPr>
    </w:p>
    <w:p w:rsidR="0010780A" w:rsidP="009F19A6" w14:paraId="3B09AEE4" w14:textId="77777777">
      <w:pPr>
        <w:rPr>
          <w:rFonts w:ascii="Arial Narrow" w:eastAsia="Arial Narrow" w:hAnsi="Arial Narrow" w:cs="Arial Narrow"/>
          <w:sz w:val="16"/>
          <w:szCs w:val="16"/>
        </w:rPr>
      </w:pPr>
      <w:bookmarkStart w:id="183" w:name="RG_MARKER_6421"/>
      <w:bookmarkStart w:id="184" w:name="RG_MARKER_6679"/>
      <w:bookmarkEnd w:id="184"/>
      <w:bookmarkEnd w:id="183"/>
    </w:p>
    <w:p w:rsidR="0010780A" w:rsidP="009F19A6" w14:paraId="48471F44" w14:textId="77777777">
      <w:pPr>
        <w:rPr>
          <w:rFonts w:ascii="Arial Narrow" w:eastAsia="Arial Narrow" w:hAnsi="Arial Narrow" w:cs="Arial Narrow"/>
          <w:sz w:val="16"/>
          <w:szCs w:val="16"/>
        </w:rPr>
      </w:pPr>
    </w:p>
    <w:p w:rsidR="0010780A" w:rsidP="009F19A6" w14:paraId="4209CFE8" w14:textId="77777777">
      <w:pPr>
        <w:rPr>
          <w:rFonts w:ascii="Arial Narrow" w:eastAsia="Arial Narrow" w:hAnsi="Arial Narrow" w:cs="Arial Narrow"/>
          <w:sz w:val="16"/>
          <w:szCs w:val="16"/>
        </w:rPr>
      </w:pPr>
    </w:p>
    <w:p w:rsidR="009F19A6" w:rsidP="009F19A6" w14:paraId="617BCF61" w14:textId="6B875662">
      <w:pPr>
        <w:rPr>
          <w:rFonts w:ascii="Arial Narrow" w:eastAsia="Arial Narrow" w:hAnsi="Arial Narrow" w:cs="Arial Narrow"/>
          <w:sz w:val="16"/>
          <w:szCs w:val="16"/>
        </w:rPr>
      </w:pPr>
      <w:r w:rsidRPr="005220A6">
        <w:rPr>
          <w:rFonts w:ascii="Arial Narrow" w:eastAsia="Arial Narrow" w:hAnsi="Arial Narrow" w:cs="Arial Narrow"/>
          <w:sz w:val="16"/>
          <w:szCs w:val="16"/>
        </w:rPr>
        <w:t>Pielikums ir šo konsolidēto finanšu pārskatu neatņemama sastāvdaļa.</w:t>
      </w:r>
    </w:p>
    <w:p w:rsidR="005220A6" w:rsidRPr="005220A6" w:rsidP="009F19A6" w14:paraId="07CAA8D8" w14:textId="77777777">
      <w:pPr>
        <w:rPr>
          <w:rFonts w:ascii="Arial Narrow" w:eastAsia="Arial Narrow" w:hAnsi="Arial Narrow" w:cs="Arial Narrow"/>
          <w:sz w:val="16"/>
          <w:szCs w:val="16"/>
        </w:rPr>
      </w:pPr>
    </w:p>
    <w:p w:rsidR="009F19A6" w:rsidRPr="005220A6" w:rsidP="009F19A6" w14:paraId="69471D38" w14:textId="433F4292">
      <w:pPr>
        <w:rPr>
          <w:rFonts w:ascii="Arial Narrow" w:eastAsia="Arial Narrow" w:hAnsi="Arial Narrow" w:cs="Arial Narrow"/>
          <w:sz w:val="16"/>
          <w:szCs w:val="16"/>
        </w:rPr>
      </w:pPr>
      <w:r w:rsidRPr="005220A6">
        <w:rPr>
          <w:rFonts w:ascii="Arial Narrow" w:eastAsia="Arial Narrow" w:hAnsi="Arial Narrow" w:cs="Arial Narrow"/>
          <w:sz w:val="16"/>
          <w:szCs w:val="16"/>
        </w:rPr>
        <w:t>Koncerna vārdā 202</w:t>
      </w:r>
      <w:r>
        <w:rPr>
          <w:rFonts w:ascii="Arial Narrow" w:eastAsia="Arial Narrow" w:hAnsi="Arial Narrow" w:cs="Arial Narrow"/>
          <w:sz w:val="16"/>
          <w:szCs w:val="16"/>
        </w:rPr>
        <w:t>2</w:t>
      </w:r>
      <w:r w:rsidRPr="005220A6">
        <w:rPr>
          <w:rFonts w:ascii="Arial Narrow" w:eastAsia="Arial Narrow" w:hAnsi="Arial Narrow" w:cs="Arial Narrow"/>
          <w:sz w:val="16"/>
          <w:szCs w:val="16"/>
        </w:rPr>
        <w:t xml:space="preserve">. gada </w:t>
      </w:r>
      <w:r>
        <w:rPr>
          <w:rFonts w:ascii="Arial Narrow" w:eastAsia="Arial Narrow" w:hAnsi="Arial Narrow" w:cs="Arial Narrow"/>
          <w:sz w:val="16"/>
          <w:szCs w:val="16"/>
        </w:rPr>
        <w:t>30</w:t>
      </w:r>
      <w:r w:rsidRPr="005220A6">
        <w:rPr>
          <w:rFonts w:ascii="Arial Narrow" w:eastAsia="Arial Narrow" w:hAnsi="Arial Narrow" w:cs="Arial Narrow"/>
          <w:sz w:val="16"/>
          <w:szCs w:val="16"/>
        </w:rPr>
        <w:t>. aprīlī konsolidētos finanšu pārskatus ir parakstījuši:</w:t>
      </w:r>
    </w:p>
    <w:p w:rsidR="009F19A6" w:rsidRPr="005220A6" w:rsidP="005220A6" w14:paraId="6838D198" w14:textId="3DF5F8B5">
      <w:pPr>
        <w:spacing w:after="0" w:line="360" w:lineRule="auto"/>
        <w:rPr>
          <w:rFonts w:ascii="Arial Narrow" w:eastAsia="Arial Narrow" w:hAnsi="Arial Narrow" w:cs="Arial Narrow"/>
          <w:sz w:val="16"/>
          <w:szCs w:val="16"/>
        </w:rPr>
      </w:pPr>
      <w:r w:rsidRPr="005220A6">
        <w:rPr>
          <w:rFonts w:ascii="Arial Narrow" w:eastAsia="Arial Narrow" w:hAnsi="Arial Narrow" w:cs="Arial Narrow"/>
          <w:sz w:val="16"/>
          <w:szCs w:val="16"/>
        </w:rPr>
        <w:t>Krišjānis Znotiņš, Valdes priekšsēdētājs</w:t>
      </w:r>
    </w:p>
    <w:p w:rsidR="009F19A6" w:rsidRPr="005220A6" w:rsidP="005220A6" w14:paraId="66CDB5C5" w14:textId="45508B1F">
      <w:pPr>
        <w:spacing w:after="0" w:line="360" w:lineRule="auto"/>
        <w:rPr>
          <w:rFonts w:ascii="Arial Narrow" w:eastAsia="Arial Narrow" w:hAnsi="Arial Narrow" w:cs="Arial Narrow"/>
          <w:sz w:val="16"/>
          <w:szCs w:val="16"/>
        </w:rPr>
      </w:pPr>
      <w:r w:rsidRPr="005220A6">
        <w:rPr>
          <w:rFonts w:ascii="Arial Narrow" w:eastAsia="Arial Narrow" w:hAnsi="Arial Narrow" w:cs="Arial Narrow"/>
          <w:sz w:val="16"/>
          <w:szCs w:val="16"/>
        </w:rPr>
        <w:t>Aivis Lonskis, Valdes loceklis</w:t>
      </w:r>
    </w:p>
    <w:p w:rsidR="009F19A6" w:rsidRPr="005220A6" w:rsidP="005220A6" w14:paraId="0D87C570" w14:textId="3F486D6D">
      <w:pPr>
        <w:spacing w:after="0" w:line="360" w:lineRule="auto"/>
        <w:rPr>
          <w:rFonts w:ascii="Arial Narrow" w:eastAsia="Arial Narrow" w:hAnsi="Arial Narrow" w:cs="Arial Narrow"/>
          <w:sz w:val="16"/>
          <w:szCs w:val="16"/>
        </w:rPr>
      </w:pPr>
      <w:r w:rsidRPr="003831B2">
        <w:rPr>
          <w:rFonts w:ascii="Arial Narrow" w:eastAsia="Arial Narrow" w:hAnsi="Arial Narrow" w:cs="Arial Narrow"/>
          <w:sz w:val="16"/>
          <w:szCs w:val="16"/>
        </w:rPr>
        <w:t>Laura Bunkša,</w:t>
      </w:r>
      <w:r w:rsidRPr="005220A6">
        <w:rPr>
          <w:rFonts w:ascii="Arial Narrow" w:eastAsia="Arial Narrow" w:hAnsi="Arial Narrow" w:cs="Arial Narrow"/>
          <w:sz w:val="16"/>
          <w:szCs w:val="16"/>
        </w:rPr>
        <w:t xml:space="preserve"> </w:t>
      </w:r>
      <w:r w:rsidRPr="005220A6">
        <w:rPr>
          <w:rFonts w:ascii="Arial Narrow" w:eastAsia="Arial Narrow" w:hAnsi="Arial Narrow" w:cs="Arial Narrow"/>
          <w:sz w:val="16"/>
          <w:szCs w:val="16"/>
        </w:rPr>
        <w:t>Galvenā grāmatvede</w:t>
      </w:r>
    </w:p>
    <w:p w:rsidR="009F19A6" w:rsidP="009F19A6" w14:paraId="2E7B3F0C" w14:textId="2EF4BD15">
      <w:pPr>
        <w:spacing w:after="0"/>
        <w:jc w:val="center"/>
        <w:rPr>
          <w:rFonts w:ascii="Arial Narrow" w:eastAsia="Arial Narrow" w:hAnsi="Arial Narrow" w:cs="Arial Narrow"/>
          <w:sz w:val="16"/>
          <w:szCs w:val="16"/>
        </w:rPr>
      </w:pPr>
    </w:p>
    <w:p w:rsidR="005220A6" w:rsidRPr="005220A6" w:rsidP="009F19A6" w14:paraId="7E06A8B0" w14:textId="77777777">
      <w:pPr>
        <w:spacing w:after="0"/>
        <w:jc w:val="center"/>
        <w:rPr>
          <w:rFonts w:ascii="Arial Narrow" w:eastAsia="Arial Narrow" w:hAnsi="Arial Narrow" w:cs="Arial Narrow"/>
          <w:sz w:val="16"/>
          <w:szCs w:val="16"/>
        </w:rPr>
      </w:pPr>
    </w:p>
    <w:p w:rsidR="00777F05" w:rsidRPr="005220A6" w:rsidP="009F19A6" w14:paraId="0101BB0D" w14:textId="3CDABC6C">
      <w:pPr>
        <w:spacing w:after="0"/>
        <w:jc w:val="center"/>
        <w:rPr>
          <w:rFonts w:ascii="Arial Narrow" w:eastAsia="Arial Narrow" w:hAnsi="Arial Narrow" w:cs="Arial Narrow"/>
          <w:sz w:val="16"/>
          <w:szCs w:val="16"/>
        </w:rPr>
      </w:pPr>
      <w:r w:rsidRPr="005220A6">
        <w:rPr>
          <w:rFonts w:ascii="Arial Narrow" w:eastAsia="Arial Narrow" w:hAnsi="Arial Narrow" w:cs="Arial Narrow"/>
          <w:sz w:val="16"/>
          <w:szCs w:val="16"/>
        </w:rPr>
        <w:t>ŠIS DOKUMENTS IR PARAKSTĪTS AR DROŠU ELEKTRONISKO PARAKSTU UN SATUR LAIKA ZĪMOGU</w:t>
      </w:r>
    </w:p>
    <w:tbl>
      <w:tblPr>
        <w:tblStyle w:val="CDMRange2"/>
        <w:tblW w:w="9555" w:type="dxa"/>
        <w:tblLayout w:type="fixed"/>
        <w:tblLook w:val="0600"/>
      </w:tblPr>
      <w:tblGrid>
        <w:gridCol w:w="5535"/>
        <w:gridCol w:w="720"/>
        <w:gridCol w:w="150"/>
        <w:gridCol w:w="1500"/>
        <w:gridCol w:w="150"/>
        <w:gridCol w:w="1500"/>
      </w:tblGrid>
      <w:tr>
        <w:tblPrEx>
          <w:tblW w:w="9555" w:type="dxa"/>
          <w:tblLayout w:type="fixed"/>
          <w:tblLook w:val="0600"/>
        </w:tblPrEx>
        <w:trPr>
          <w:cantSplit/>
          <w:trHeight w:hRule="exact" w:val="255"/>
        </w:trPr>
        <w:tc>
          <w:tcPr>
            <w:tcW w:w="9555" w:type="dxa"/>
            <w:gridSpan w:val="6"/>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keepNext/>
              <w:pageBreakBefore/>
              <w:bidi w:val="0"/>
              <w:spacing w:before="0" w:beforeAutospacing="0" w:after="0" w:afterAutospacing="0" w:line="240" w:lineRule="auto"/>
              <w:jc w:val="center"/>
              <w:rPr>
                <w:rFonts w:ascii="Arial Narrow" w:eastAsia="Arial Narrow" w:hAnsi="Arial Narrow" w:cs="Arial Narrow"/>
                <w:b/>
                <w:i w:val="0"/>
                <w:strike w:val="0"/>
                <w:color w:val="000000"/>
                <w:sz w:val="20"/>
                <w:u w:val="none"/>
                <w:vertAlign w:val="baseline"/>
              </w:rPr>
            </w:pPr>
            <w:r>
              <w:rPr>
                <w:rFonts w:ascii="Arial Narrow" w:eastAsia="Arial Narrow" w:hAnsi="Arial Narrow" w:cs="Arial Narrow"/>
                <w:b/>
                <w:i w:val="0"/>
                <w:strike w:val="0"/>
                <w:color w:val="000000"/>
                <w:sz w:val="20"/>
                <w:u w:val="none"/>
                <w:vertAlign w:val="baseline"/>
              </w:rPr>
              <w:t>Konsolidētais finanšu stāvokļa pārskats</w:t>
            </w:r>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163"/>
        </w:trPr>
        <w:tc>
          <w:tcPr>
            <w:tcW w:w="553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20"/>
                <w:u w:val="none"/>
                <w:vertAlign w:val="baseline"/>
              </w:rPr>
            </w:pPr>
          </w:p>
        </w:tc>
        <w:tc>
          <w:tcPr>
            <w:tcW w:w="72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20"/>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20"/>
                <w:u w:val="none"/>
                <w:vertAlign w:val="baseline"/>
              </w:rPr>
            </w:pPr>
          </w:p>
        </w:tc>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20"/>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20"/>
                <w:u w:val="none"/>
                <w:vertAlign w:val="baseline"/>
              </w:rPr>
            </w:pPr>
          </w:p>
        </w:tc>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20"/>
                <w:u w:val="none"/>
                <w:vertAlign w:val="baseline"/>
              </w:rPr>
            </w:pPr>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9555" w:type="dxa"/>
            <w:gridSpan w:val="6"/>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20"/>
                <w:u w:val="none"/>
                <w:vertAlign w:val="baseline"/>
              </w:rPr>
            </w:pPr>
            <w:r>
              <w:rPr>
                <w:rFonts w:ascii="Arial Narrow" w:eastAsia="Arial Narrow" w:hAnsi="Arial Narrow" w:cs="Arial Narrow"/>
                <w:b/>
                <w:i w:val="0"/>
                <w:strike w:val="0"/>
                <w:color w:val="000000"/>
                <w:sz w:val="20"/>
                <w:u w:val="none"/>
                <w:vertAlign w:val="baseline"/>
              </w:rPr>
              <w:t>AKTĪVS</w:t>
            </w:r>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163"/>
        </w:trPr>
        <w:tc>
          <w:tcPr>
            <w:tcW w:w="553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4"/>
                <w:u w:val="none"/>
                <w:vertAlign w:val="baseline"/>
              </w:rPr>
            </w:pPr>
          </w:p>
        </w:tc>
        <w:tc>
          <w:tcPr>
            <w:tcW w:w="72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4"/>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4"/>
                <w:u w:val="none"/>
                <w:vertAlign w:val="baseline"/>
              </w:rPr>
            </w:pPr>
          </w:p>
        </w:tc>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4"/>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4"/>
                <w:u w:val="none"/>
                <w:vertAlign w:val="baseline"/>
              </w:rPr>
            </w:pPr>
          </w:p>
        </w:tc>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4"/>
                <w:u w:val="none"/>
                <w:vertAlign w:val="baseline"/>
              </w:rPr>
            </w:pPr>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72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4"/>
                <w:u w:val="none"/>
                <w:vertAlign w:val="baseline"/>
              </w:rPr>
            </w:pPr>
          </w:p>
        </w:tc>
        <w:tc>
          <w:tcPr>
            <w:tcW w:w="15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31.12.2021.</w:t>
            </w: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31.12.2020.</w:t>
            </w:r>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ILGTERMIŅA IEGULDĪJUMI</w:t>
            </w:r>
          </w:p>
        </w:tc>
        <w:tc>
          <w:tcPr>
            <w:tcW w:w="72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Pielikums</w:t>
            </w:r>
          </w:p>
        </w:tc>
        <w:tc>
          <w:tcPr>
            <w:tcW w:w="1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1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72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Nemateriālie ieguldījumi</w:t>
            </w:r>
          </w:p>
        </w:tc>
        <w:tc>
          <w:tcPr>
            <w:tcW w:w="72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gridSpan w:val="2"/>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650" w:type="dxa"/>
            <w:gridSpan w:val="2"/>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Citi nemateriālie ieguldījumi</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16</w:t>
            </w:r>
          </w:p>
        </w:tc>
        <w:tc>
          <w:tcPr>
            <w:tcW w:w="165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85" w:name="XBRL_CS_07445b926833423284f452d6b639954e"/>
            <w:bookmarkEnd w:id="185"/>
            <w:bookmarkStart w:id="186" w:name="07445b926833423284f452d6b639954e"/>
            <w:r>
              <w:rPr>
                <w:rFonts w:ascii="Arial Narrow" w:eastAsia="Arial Narrow" w:hAnsi="Arial Narrow" w:cs="Arial Narrow"/>
                <w:b w:val="0"/>
                <w:i w:val="0"/>
                <w:strike w:val="0"/>
                <w:color w:val="000000"/>
                <w:sz w:val="16"/>
                <w:u w:val="none"/>
                <w:vertAlign w:val="baseline"/>
              </w:rPr>
              <w:t>-</w:t>
            </w:r>
            <w:bookmarkStart w:id="187" w:name="XBRL_CE_07445b926833423284f452d6b639954e"/>
            <w:bookmarkEnd w:id="186"/>
            <w:bookmarkEnd w:id="187"/>
          </w:p>
        </w:tc>
        <w:tc>
          <w:tcPr>
            <w:tcW w:w="165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88" w:name="XBRL_CS_1e1ebb3f57c147948a09c2542a47ae66"/>
            <w:bookmarkEnd w:id="188"/>
            <w:bookmarkStart w:id="189" w:name="1e1ebb3f57c147948a09c2542a47ae66"/>
            <w:r>
              <w:rPr>
                <w:rFonts w:ascii="Arial Narrow" w:eastAsia="Arial Narrow" w:hAnsi="Arial Narrow" w:cs="Arial Narrow"/>
                <w:b w:val="0"/>
                <w:i w:val="0"/>
                <w:strike w:val="0"/>
                <w:color w:val="000000"/>
                <w:sz w:val="16"/>
                <w:u w:val="none"/>
                <w:vertAlign w:val="baseline"/>
              </w:rPr>
              <w:t>14,552</w:t>
            </w:r>
            <w:bookmarkStart w:id="190" w:name="XBRL_CE_1e1ebb3f57c147948a09c2542a47ae66"/>
            <w:bookmarkEnd w:id="189"/>
            <w:bookmarkEnd w:id="190"/>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Nemateriālie ieguldījumi kopā</w:t>
            </w:r>
          </w:p>
        </w:tc>
        <w:tc>
          <w:tcPr>
            <w:tcW w:w="720" w:type="dxa"/>
            <w:tcBorders>
              <w:top w:val="nil"/>
              <w:left w:val="nil"/>
              <w:bottom w:val="nil"/>
              <w:right w:val="nil"/>
              <w:tl2br w:val="nil"/>
              <w:tr2bl w:val="nil"/>
            </w:tcBorders>
            <w:shd w:val="clear" w:color="auto" w:fill="auto"/>
            <w:noWrap w:val="0"/>
            <w:tcMar>
              <w:left w:w="0" w:type="dxa"/>
              <w:right w:w="0" w:type="dxa"/>
            </w:tcMar>
            <w:textDirection w:val="lrTb"/>
            <w:tcFitText w:val="0"/>
            <w:vAlign w:val="top"/>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gridSpan w:val="2"/>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91" w:name="XBRL_CS_1f8a33729a664af687628e447f89d5eb"/>
            <w:bookmarkEnd w:id="191"/>
            <w:bookmarkStart w:id="192" w:name="1f8a33729a664af687628e447f89d5eb"/>
            <w:r>
              <w:rPr>
                <w:rFonts w:ascii="Arial Narrow" w:eastAsia="Arial Narrow" w:hAnsi="Arial Narrow" w:cs="Arial Narrow"/>
                <w:b/>
                <w:i w:val="0"/>
                <w:strike w:val="0"/>
                <w:color w:val="000000"/>
                <w:sz w:val="16"/>
                <w:u w:val="none"/>
                <w:vertAlign w:val="baseline"/>
              </w:rPr>
              <w:t>-</w:t>
            </w:r>
            <w:bookmarkStart w:id="193" w:name="XBRL_CE_1f8a33729a664af687628e447f89d5eb"/>
            <w:bookmarkEnd w:id="192"/>
            <w:bookmarkEnd w:id="193"/>
          </w:p>
        </w:tc>
        <w:tc>
          <w:tcPr>
            <w:tcW w:w="1650" w:type="dxa"/>
            <w:gridSpan w:val="2"/>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94" w:name="XBRL_CS_adc60a8cd3f44f82b5b78ce5590ccf1e"/>
            <w:bookmarkEnd w:id="194"/>
            <w:bookmarkStart w:id="195" w:name="adc60a8cd3f44f82b5b78ce5590ccf1e"/>
            <w:r>
              <w:rPr>
                <w:rFonts w:ascii="Arial Narrow" w:eastAsia="Arial Narrow" w:hAnsi="Arial Narrow" w:cs="Arial Narrow"/>
                <w:b/>
                <w:i w:val="0"/>
                <w:strike w:val="0"/>
                <w:color w:val="000000"/>
                <w:sz w:val="16"/>
                <w:u w:val="none"/>
                <w:vertAlign w:val="baseline"/>
              </w:rPr>
              <w:t>14,552</w:t>
            </w:r>
            <w:bookmarkStart w:id="196" w:name="XBRL_CE_adc60a8cd3f44f82b5b78ce5590ccf1e"/>
            <w:bookmarkEnd w:id="195"/>
            <w:bookmarkEnd w:id="196"/>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163"/>
        </w:trPr>
        <w:tc>
          <w:tcPr>
            <w:tcW w:w="553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72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Pamatlīdzekļi</w:t>
            </w:r>
          </w:p>
        </w:tc>
        <w:tc>
          <w:tcPr>
            <w:tcW w:w="72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gridSpan w:val="2"/>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gridSpan w:val="2"/>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Nomas autoparks</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17</w:t>
            </w:r>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97" w:name="XBRL_CS_49a29c249eca40e49d5ce640a6e5089b"/>
            <w:bookmarkEnd w:id="197"/>
            <w:bookmarkStart w:id="198" w:name="49a29c249eca40e49d5ce640a6e5089b"/>
            <w:r>
              <w:rPr>
                <w:rFonts w:ascii="Arial Narrow" w:eastAsia="Arial Narrow" w:hAnsi="Arial Narrow" w:cs="Arial Narrow"/>
                <w:b w:val="0"/>
                <w:i w:val="0"/>
                <w:strike w:val="0"/>
                <w:color w:val="000000"/>
                <w:sz w:val="16"/>
                <w:u w:val="none"/>
                <w:vertAlign w:val="baseline"/>
              </w:rPr>
              <w:t>10,699,741</w:t>
            </w:r>
            <w:bookmarkStart w:id="199" w:name="XBRL_CE_49a29c249eca40e49d5ce640a6e5089b"/>
            <w:bookmarkEnd w:id="198"/>
            <w:bookmarkEnd w:id="199"/>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00" w:name="XBRL_CS_693de65fe5364f4e91373e0aa8584c18"/>
            <w:bookmarkEnd w:id="200"/>
            <w:bookmarkStart w:id="201" w:name="693de65fe5364f4e91373e0aa8584c18"/>
            <w:r>
              <w:rPr>
                <w:rFonts w:ascii="Arial Narrow" w:eastAsia="Arial Narrow" w:hAnsi="Arial Narrow" w:cs="Arial Narrow"/>
                <w:b w:val="0"/>
                <w:i w:val="0"/>
                <w:strike w:val="0"/>
                <w:color w:val="000000"/>
                <w:sz w:val="16"/>
                <w:u w:val="none"/>
                <w:vertAlign w:val="baseline"/>
              </w:rPr>
              <w:t>14,549,784</w:t>
            </w:r>
            <w:bookmarkStart w:id="202" w:name="XBRL_CE_693de65fe5364f4e91373e0aa8584c18"/>
            <w:bookmarkEnd w:id="201"/>
            <w:bookmarkEnd w:id="202"/>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Lietošanas tiesību aktīvi</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17, 18</w:t>
            </w:r>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03" w:name="XBRL_CS_3e0da21e20dd44eba24bcf4616408c7f"/>
            <w:bookmarkEnd w:id="203"/>
            <w:bookmarkStart w:id="204" w:name="3e0da21e20dd44eba24bcf4616408c7f"/>
            <w:r>
              <w:rPr>
                <w:rFonts w:ascii="Arial Narrow" w:eastAsia="Arial Narrow" w:hAnsi="Arial Narrow" w:cs="Arial Narrow"/>
                <w:b w:val="0"/>
                <w:i w:val="0"/>
                <w:strike w:val="0"/>
                <w:color w:val="000000"/>
                <w:sz w:val="16"/>
                <w:u w:val="none"/>
                <w:vertAlign w:val="baseline"/>
              </w:rPr>
              <w:t>707,505</w:t>
            </w:r>
            <w:bookmarkStart w:id="205" w:name="XBRL_CE_3e0da21e20dd44eba24bcf4616408c7f"/>
            <w:bookmarkEnd w:id="204"/>
            <w:bookmarkEnd w:id="205"/>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06" w:name="XBRL_CS_aa29aa40af734570b26577d70cffb05f"/>
            <w:bookmarkEnd w:id="206"/>
            <w:bookmarkStart w:id="207" w:name="aa29aa40af734570b26577d70cffb05f"/>
            <w:r>
              <w:rPr>
                <w:rFonts w:ascii="Arial Narrow" w:eastAsia="Arial Narrow" w:hAnsi="Arial Narrow" w:cs="Arial Narrow"/>
                <w:b w:val="0"/>
                <w:i w:val="0"/>
                <w:strike w:val="0"/>
                <w:color w:val="000000"/>
                <w:sz w:val="16"/>
                <w:u w:val="none"/>
                <w:vertAlign w:val="baseline"/>
              </w:rPr>
              <w:t>1,180,256</w:t>
            </w:r>
            <w:bookmarkStart w:id="208" w:name="XBRL_CE_aa29aa40af734570b26577d70cffb05f"/>
            <w:bookmarkEnd w:id="207"/>
            <w:bookmarkEnd w:id="208"/>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Pamatlīdzekļi </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17</w:t>
            </w:r>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09" w:name="XBRL_CS_da07cd67a5fd47d49a5ba0a9d46f8765"/>
            <w:bookmarkEnd w:id="209"/>
            <w:bookmarkStart w:id="210" w:name="da07cd67a5fd47d49a5ba0a9d46f8765"/>
            <w:r>
              <w:rPr>
                <w:rFonts w:ascii="Arial Narrow" w:eastAsia="Arial Narrow" w:hAnsi="Arial Narrow" w:cs="Arial Narrow"/>
                <w:b w:val="0"/>
                <w:i w:val="0"/>
                <w:strike w:val="0"/>
                <w:color w:val="000000"/>
                <w:sz w:val="16"/>
                <w:u w:val="none"/>
                <w:vertAlign w:val="baseline"/>
              </w:rPr>
              <w:t>50,925</w:t>
            </w:r>
            <w:bookmarkStart w:id="211" w:name="XBRL_CE_da07cd67a5fd47d49a5ba0a9d46f8765"/>
            <w:bookmarkEnd w:id="210"/>
            <w:bookmarkEnd w:id="211"/>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12" w:name="XBRL_CS_1bda6e6a8c984dfc860532dc7a2d84da"/>
            <w:bookmarkEnd w:id="212"/>
            <w:bookmarkStart w:id="213" w:name="1bda6e6a8c984dfc860532dc7a2d84da"/>
            <w:r>
              <w:rPr>
                <w:rFonts w:ascii="Arial Narrow" w:eastAsia="Arial Narrow" w:hAnsi="Arial Narrow" w:cs="Arial Narrow"/>
                <w:b w:val="0"/>
                <w:i w:val="0"/>
                <w:strike w:val="0"/>
                <w:color w:val="000000"/>
                <w:sz w:val="16"/>
                <w:u w:val="none"/>
                <w:vertAlign w:val="baseline"/>
              </w:rPr>
              <w:t>83,161</w:t>
            </w:r>
            <w:bookmarkStart w:id="214" w:name="XBRL_CE_1bda6e6a8c984dfc860532dc7a2d84da"/>
            <w:bookmarkEnd w:id="213"/>
            <w:bookmarkEnd w:id="214"/>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Ieguldījumi nomātos pamatlīdzekļos</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17</w:t>
            </w:r>
          </w:p>
        </w:tc>
        <w:tc>
          <w:tcPr>
            <w:tcW w:w="165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15" w:name="XBRL_CS_b23b4b19389c447c881ebd7997dad21a"/>
            <w:bookmarkEnd w:id="215"/>
            <w:bookmarkStart w:id="216" w:name="b23b4b19389c447c881ebd7997dad21a"/>
            <w:r>
              <w:rPr>
                <w:rFonts w:ascii="Arial Narrow" w:eastAsia="Arial Narrow" w:hAnsi="Arial Narrow" w:cs="Arial Narrow"/>
                <w:b w:val="0"/>
                <w:i w:val="0"/>
                <w:strike w:val="0"/>
                <w:color w:val="000000"/>
                <w:sz w:val="16"/>
                <w:u w:val="none"/>
                <w:vertAlign w:val="baseline"/>
              </w:rPr>
              <w:t>3,804</w:t>
            </w:r>
            <w:bookmarkStart w:id="217" w:name="XBRL_CE_b23b4b19389c447c881ebd7997dad21a"/>
            <w:bookmarkEnd w:id="216"/>
            <w:bookmarkEnd w:id="217"/>
          </w:p>
        </w:tc>
        <w:tc>
          <w:tcPr>
            <w:tcW w:w="165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18" w:name="XBRL_CS_9e375450d07a4cb597f63720fe33ac94"/>
            <w:bookmarkEnd w:id="218"/>
            <w:bookmarkStart w:id="219" w:name="9e375450d07a4cb597f63720fe33ac94"/>
            <w:r>
              <w:rPr>
                <w:rFonts w:ascii="Arial Narrow" w:eastAsia="Arial Narrow" w:hAnsi="Arial Narrow" w:cs="Arial Narrow"/>
                <w:b w:val="0"/>
                <w:i w:val="0"/>
                <w:strike w:val="0"/>
                <w:color w:val="000000"/>
                <w:sz w:val="16"/>
                <w:u w:val="none"/>
                <w:vertAlign w:val="baseline"/>
              </w:rPr>
              <w:t>6,322</w:t>
            </w:r>
            <w:bookmarkStart w:id="220" w:name="XBRL_CE_9e375450d07a4cb597f63720fe33ac94"/>
            <w:bookmarkEnd w:id="219"/>
            <w:bookmarkEnd w:id="220"/>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Pamatlīdzekļi kopā</w:t>
            </w:r>
          </w:p>
        </w:tc>
        <w:tc>
          <w:tcPr>
            <w:tcW w:w="72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gridSpan w:val="2"/>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221" w:name="XBRL_CS_538673906ac84e29b3c29cd682bde5cb"/>
            <w:bookmarkEnd w:id="221"/>
            <w:bookmarkStart w:id="222" w:name="538673906ac84e29b3c29cd682bde5cb"/>
            <w:r>
              <w:rPr>
                <w:rFonts w:ascii="Arial Narrow" w:eastAsia="Arial Narrow" w:hAnsi="Arial Narrow" w:cs="Arial Narrow"/>
                <w:b/>
                <w:i w:val="0"/>
                <w:strike w:val="0"/>
                <w:color w:val="000000"/>
                <w:sz w:val="16"/>
                <w:u w:val="none"/>
                <w:vertAlign w:val="baseline"/>
              </w:rPr>
              <w:t>11,461,975</w:t>
            </w:r>
            <w:bookmarkStart w:id="223" w:name="XBRL_CE_538673906ac84e29b3c29cd682bde5cb"/>
            <w:bookmarkEnd w:id="222"/>
            <w:bookmarkEnd w:id="223"/>
          </w:p>
        </w:tc>
        <w:tc>
          <w:tcPr>
            <w:tcW w:w="1650" w:type="dxa"/>
            <w:gridSpan w:val="2"/>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224" w:name="XBRL_CS_9274d2d1c63241ddafe733a4b6a43806"/>
            <w:bookmarkEnd w:id="224"/>
            <w:bookmarkStart w:id="225" w:name="9274d2d1c63241ddafe733a4b6a43806"/>
            <w:r>
              <w:rPr>
                <w:rFonts w:ascii="Arial Narrow" w:eastAsia="Arial Narrow" w:hAnsi="Arial Narrow" w:cs="Arial Narrow"/>
                <w:b/>
                <w:i w:val="0"/>
                <w:strike w:val="0"/>
                <w:color w:val="000000"/>
                <w:sz w:val="16"/>
                <w:u w:val="none"/>
                <w:vertAlign w:val="baseline"/>
              </w:rPr>
              <w:t>15,819,523</w:t>
            </w:r>
            <w:bookmarkStart w:id="226" w:name="XBRL_CE_9274d2d1c63241ddafe733a4b6a43806"/>
            <w:bookmarkEnd w:id="225"/>
            <w:bookmarkEnd w:id="226"/>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163"/>
        </w:trPr>
        <w:tc>
          <w:tcPr>
            <w:tcW w:w="553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72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gridSpan w:val="2"/>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650" w:type="dxa"/>
            <w:gridSpan w:val="2"/>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Ilgtermiņa finanšu ieguldījumi un no nomas izrietošās prasības</w:t>
            </w:r>
          </w:p>
        </w:tc>
        <w:tc>
          <w:tcPr>
            <w:tcW w:w="72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gridSpan w:val="2"/>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650" w:type="dxa"/>
            <w:gridSpan w:val="2"/>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 finanšu nomas izrietošās prasības</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19</w:t>
            </w:r>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27" w:name="XBRL_CS_bd99657e6262498e8ff8c087e0cf4c1a"/>
            <w:bookmarkEnd w:id="227"/>
            <w:bookmarkStart w:id="228" w:name="bd99657e6262498e8ff8c087e0cf4c1a"/>
            <w:r>
              <w:rPr>
                <w:rFonts w:ascii="Arial Narrow" w:eastAsia="Arial Narrow" w:hAnsi="Arial Narrow" w:cs="Arial Narrow"/>
                <w:b w:val="0"/>
                <w:i w:val="0"/>
                <w:strike w:val="0"/>
                <w:color w:val="000000"/>
                <w:sz w:val="16"/>
                <w:u w:val="none"/>
                <w:vertAlign w:val="baseline"/>
              </w:rPr>
              <w:t>2,004,863</w:t>
            </w:r>
            <w:bookmarkStart w:id="229" w:name="XBRL_CE_bd99657e6262498e8ff8c087e0cf4c1a"/>
            <w:bookmarkEnd w:id="228"/>
            <w:bookmarkEnd w:id="229"/>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30" w:name="XBRL_CS_eaa4a247b70d4a41984f9a3ae6c48a5f"/>
            <w:bookmarkEnd w:id="230"/>
            <w:bookmarkStart w:id="231" w:name="eaa4a247b70d4a41984f9a3ae6c48a5f"/>
            <w:r>
              <w:rPr>
                <w:rFonts w:ascii="Arial Narrow" w:eastAsia="Arial Narrow" w:hAnsi="Arial Narrow" w:cs="Arial Narrow"/>
                <w:b w:val="0"/>
                <w:i w:val="0"/>
                <w:strike w:val="0"/>
                <w:color w:val="000000"/>
                <w:sz w:val="16"/>
                <w:u w:val="none"/>
                <w:vertAlign w:val="baseline"/>
              </w:rPr>
              <w:t>1,999,765</w:t>
            </w:r>
            <w:bookmarkStart w:id="232" w:name="XBRL_CE_eaa4a247b70d4a41984f9a3ae6c48a5f"/>
            <w:bookmarkEnd w:id="231"/>
            <w:bookmarkEnd w:id="232"/>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Kredīti un izsniegtie avansi</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w:t>
            </w:r>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33" w:name="XBRL_CS_b2f208e43fec4870a71b7682c6618616"/>
            <w:bookmarkEnd w:id="233"/>
            <w:bookmarkStart w:id="234" w:name="b2f208e43fec4870a71b7682c6618616"/>
            <w:r>
              <w:rPr>
                <w:rFonts w:ascii="Arial Narrow" w:eastAsia="Arial Narrow" w:hAnsi="Arial Narrow" w:cs="Arial Narrow"/>
                <w:b w:val="0"/>
                <w:i w:val="0"/>
                <w:strike w:val="0"/>
                <w:color w:val="000000"/>
                <w:sz w:val="16"/>
                <w:u w:val="none"/>
                <w:vertAlign w:val="baseline"/>
              </w:rPr>
              <w:t>2,447,696</w:t>
            </w:r>
            <w:bookmarkStart w:id="235" w:name="XBRL_CE_b2f208e43fec4870a71b7682c6618616"/>
            <w:bookmarkEnd w:id="234"/>
            <w:bookmarkEnd w:id="235"/>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36" w:name="XBRL_CS_61957d49d98344838375cc2e402fa0bc"/>
            <w:bookmarkEnd w:id="236"/>
            <w:bookmarkStart w:id="237" w:name="61957d49d98344838375cc2e402fa0bc"/>
            <w:r>
              <w:rPr>
                <w:rFonts w:ascii="Arial Narrow" w:eastAsia="Arial Narrow" w:hAnsi="Arial Narrow" w:cs="Arial Narrow"/>
                <w:b w:val="0"/>
                <w:i w:val="0"/>
                <w:strike w:val="0"/>
                <w:color w:val="000000"/>
                <w:sz w:val="16"/>
                <w:u w:val="none"/>
                <w:vertAlign w:val="baseline"/>
              </w:rPr>
              <w:t>6,453,877</w:t>
            </w:r>
            <w:bookmarkStart w:id="238" w:name="XBRL_CE_61957d49d98344838375cc2e402fa0bc"/>
            <w:bookmarkEnd w:id="237"/>
            <w:bookmarkEnd w:id="238"/>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Aizdevumi saistītajām pusēm</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36</w:t>
            </w:r>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39" w:name="XBRL_CS_55f5a1e8541a4ecfb7b8204f2b44aa05"/>
            <w:bookmarkEnd w:id="239"/>
            <w:bookmarkStart w:id="240" w:name="55f5a1e8541a4ecfb7b8204f2b44aa05"/>
            <w:r>
              <w:rPr>
                <w:rFonts w:ascii="Arial Narrow" w:eastAsia="Arial Narrow" w:hAnsi="Arial Narrow" w:cs="Arial Narrow"/>
                <w:b w:val="0"/>
                <w:i w:val="0"/>
                <w:strike w:val="0"/>
                <w:color w:val="000000"/>
                <w:sz w:val="16"/>
                <w:u w:val="none"/>
                <w:vertAlign w:val="baseline"/>
              </w:rPr>
              <w:t>35,101,118</w:t>
            </w:r>
            <w:bookmarkStart w:id="241" w:name="XBRL_CE_55f5a1e8541a4ecfb7b8204f2b44aa05"/>
            <w:bookmarkEnd w:id="240"/>
            <w:bookmarkEnd w:id="241"/>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42" w:name="XBRL_CS_0b0a72abd5ce47a09694a2eca336fdde"/>
            <w:bookmarkEnd w:id="242"/>
            <w:bookmarkStart w:id="243" w:name="0b0a72abd5ce47a09694a2eca336fdde"/>
            <w:r>
              <w:rPr>
                <w:rFonts w:ascii="Arial Narrow" w:eastAsia="Arial Narrow" w:hAnsi="Arial Narrow" w:cs="Arial Narrow"/>
                <w:b w:val="0"/>
                <w:i w:val="0"/>
                <w:strike w:val="0"/>
                <w:color w:val="000000"/>
                <w:sz w:val="16"/>
                <w:u w:val="none"/>
                <w:vertAlign w:val="baseline"/>
              </w:rPr>
              <w:t>28,332,765</w:t>
            </w:r>
            <w:bookmarkStart w:id="244" w:name="XBRL_CE_0b0a72abd5ce47a09694a2eca336fdde"/>
            <w:bookmarkEnd w:id="243"/>
            <w:bookmarkEnd w:id="244"/>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Citi ieguldījumi</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37</w:t>
            </w:r>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45" w:name="XBRL_CS_edbc6b93cc3b4400a0f1fbe5ad7e3a73"/>
            <w:bookmarkEnd w:id="245"/>
            <w:bookmarkStart w:id="246" w:name="edbc6b93cc3b4400a0f1fbe5ad7e3a73"/>
            <w:r>
              <w:rPr>
                <w:rFonts w:ascii="Arial Narrow" w:eastAsia="Arial Narrow" w:hAnsi="Arial Narrow" w:cs="Arial Narrow"/>
                <w:b w:val="0"/>
                <w:i w:val="0"/>
                <w:strike w:val="0"/>
                <w:color w:val="000000"/>
                <w:sz w:val="16"/>
                <w:u w:val="none"/>
                <w:vertAlign w:val="baseline"/>
              </w:rPr>
              <w:t>20</w:t>
            </w:r>
            <w:bookmarkStart w:id="247" w:name="XBRL_CE_edbc6b93cc3b4400a0f1fbe5ad7e3a73"/>
            <w:bookmarkEnd w:id="246"/>
            <w:bookmarkEnd w:id="247"/>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48" w:name="XBRL_CS_73e994caf58440efa18cab935a81ecb7"/>
            <w:bookmarkEnd w:id="248"/>
            <w:bookmarkStart w:id="249" w:name="73e994caf58440efa18cab935a81ecb7"/>
            <w:r>
              <w:rPr>
                <w:rFonts w:ascii="Arial Narrow" w:eastAsia="Arial Narrow" w:hAnsi="Arial Narrow" w:cs="Arial Narrow"/>
                <w:b w:val="0"/>
                <w:i w:val="0"/>
                <w:strike w:val="0"/>
                <w:color w:val="000000"/>
                <w:sz w:val="16"/>
                <w:u w:val="none"/>
                <w:vertAlign w:val="baseline"/>
              </w:rPr>
              <w:t>26</w:t>
            </w:r>
            <w:bookmarkStart w:id="250" w:name="XBRL_CE_73e994caf58440efa18cab935a81ecb7"/>
            <w:bookmarkEnd w:id="249"/>
            <w:bookmarkEnd w:id="250"/>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Ieguldījumi parāda vērtspapīros</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21</w:t>
            </w:r>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51" w:name="XBRL_CS_da6ad6a6bc5646e7a4acee1ecf6300ac"/>
            <w:bookmarkEnd w:id="251"/>
            <w:bookmarkStart w:id="252" w:name="da6ad6a6bc5646e7a4acee1ecf6300ac"/>
            <w:r>
              <w:rPr>
                <w:rFonts w:ascii="Arial Narrow" w:eastAsia="Arial Narrow" w:hAnsi="Arial Narrow" w:cs="Arial Narrow"/>
                <w:b w:val="0"/>
                <w:i w:val="0"/>
                <w:strike w:val="0"/>
                <w:color w:val="000000"/>
                <w:sz w:val="16"/>
                <w:u w:val="none"/>
                <w:vertAlign w:val="baseline"/>
              </w:rPr>
              <w:t>-</w:t>
            </w:r>
            <w:bookmarkStart w:id="253" w:name="XBRL_CE_da6ad6a6bc5646e7a4acee1ecf6300ac"/>
            <w:bookmarkEnd w:id="252"/>
            <w:bookmarkEnd w:id="253"/>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54" w:name="XBRL_CS_3845489e2a8b4b4a94f55581b43a3bd4"/>
            <w:bookmarkEnd w:id="254"/>
            <w:bookmarkStart w:id="255" w:name="3845489e2a8b4b4a94f55581b43a3bd4"/>
            <w:r>
              <w:rPr>
                <w:rFonts w:ascii="Arial Narrow" w:eastAsia="Arial Narrow" w:hAnsi="Arial Narrow" w:cs="Arial Narrow"/>
                <w:b w:val="0"/>
                <w:i w:val="0"/>
                <w:strike w:val="0"/>
                <w:color w:val="000000"/>
                <w:sz w:val="16"/>
                <w:u w:val="none"/>
                <w:vertAlign w:val="baseline"/>
              </w:rPr>
              <w:t>609,000</w:t>
            </w:r>
            <w:bookmarkStart w:id="256" w:name="XBRL_CE_3845489e2a8b4b4a94f55581b43a3bd4"/>
            <w:bookmarkEnd w:id="255"/>
            <w:bookmarkEnd w:id="256"/>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Saistīto pušu debitoru parādi</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23</w:t>
            </w:r>
          </w:p>
        </w:tc>
        <w:tc>
          <w:tcPr>
            <w:tcW w:w="165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57" w:name="XBRL_CS_d4b50362efa94dd78c09d98486c8a7e0"/>
            <w:bookmarkEnd w:id="257"/>
            <w:bookmarkStart w:id="258" w:name="d4b50362efa94dd78c09d98486c8a7e0"/>
            <w:r>
              <w:rPr>
                <w:rFonts w:ascii="Arial Narrow" w:eastAsia="Arial Narrow" w:hAnsi="Arial Narrow" w:cs="Arial Narrow"/>
                <w:b w:val="0"/>
                <w:i w:val="0"/>
                <w:strike w:val="0"/>
                <w:color w:val="000000"/>
                <w:sz w:val="16"/>
                <w:u w:val="none"/>
                <w:vertAlign w:val="baseline"/>
              </w:rPr>
              <w:t>512,164</w:t>
            </w:r>
            <w:bookmarkStart w:id="259" w:name="XBRL_CE_d4b50362efa94dd78c09d98486c8a7e0"/>
            <w:bookmarkEnd w:id="258"/>
            <w:bookmarkEnd w:id="259"/>
          </w:p>
        </w:tc>
        <w:tc>
          <w:tcPr>
            <w:tcW w:w="165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60" w:name="XBRL_CS_842f85c2559d489e93ff067c5a2ff8d1"/>
            <w:bookmarkEnd w:id="260"/>
            <w:bookmarkStart w:id="261" w:name="842f85c2559d489e93ff067c5a2ff8d1"/>
            <w:r>
              <w:rPr>
                <w:rFonts w:ascii="Arial Narrow" w:eastAsia="Arial Narrow" w:hAnsi="Arial Narrow" w:cs="Arial Narrow"/>
                <w:b w:val="0"/>
                <w:i w:val="0"/>
                <w:strike w:val="0"/>
                <w:color w:val="000000"/>
                <w:sz w:val="16"/>
                <w:u w:val="none"/>
                <w:vertAlign w:val="baseline"/>
              </w:rPr>
              <w:t>187,315</w:t>
            </w:r>
            <w:bookmarkStart w:id="262" w:name="XBRL_CE_842f85c2559d489e93ff067c5a2ff8d1"/>
            <w:bookmarkEnd w:id="261"/>
            <w:bookmarkEnd w:id="262"/>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ilgtermiņa finanšu ieguldījumi un no nomas izrietošās prasības</w:t>
            </w:r>
          </w:p>
        </w:tc>
        <w:tc>
          <w:tcPr>
            <w:tcW w:w="72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gridSpan w:val="2"/>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263" w:name="XBRL_CS_0fe8be0a66564bea8e2d219e27157547"/>
            <w:bookmarkEnd w:id="263"/>
            <w:bookmarkStart w:id="264" w:name="0fe8be0a66564bea8e2d219e27157547"/>
            <w:r>
              <w:rPr>
                <w:rFonts w:ascii="Arial Narrow" w:eastAsia="Arial Narrow" w:hAnsi="Arial Narrow" w:cs="Arial Narrow"/>
                <w:b/>
                <w:i w:val="0"/>
                <w:strike w:val="0"/>
                <w:color w:val="000000"/>
                <w:sz w:val="16"/>
                <w:u w:val="none"/>
                <w:vertAlign w:val="baseline"/>
              </w:rPr>
              <w:t>40,065,861</w:t>
            </w:r>
            <w:bookmarkStart w:id="265" w:name="XBRL_CE_0fe8be0a66564bea8e2d219e27157547"/>
            <w:bookmarkEnd w:id="264"/>
            <w:bookmarkEnd w:id="265"/>
          </w:p>
        </w:tc>
        <w:tc>
          <w:tcPr>
            <w:tcW w:w="1650" w:type="dxa"/>
            <w:gridSpan w:val="2"/>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266" w:name="XBRL_CS_0daf2d72e05241728869fa18d736edf3"/>
            <w:bookmarkEnd w:id="266"/>
            <w:bookmarkStart w:id="267" w:name="0daf2d72e05241728869fa18d736edf3"/>
            <w:r>
              <w:rPr>
                <w:rFonts w:ascii="Arial Narrow" w:eastAsia="Arial Narrow" w:hAnsi="Arial Narrow" w:cs="Arial Narrow"/>
                <w:b/>
                <w:i w:val="0"/>
                <w:strike w:val="0"/>
                <w:color w:val="000000"/>
                <w:sz w:val="16"/>
                <w:u w:val="none"/>
                <w:vertAlign w:val="baseline"/>
              </w:rPr>
              <w:t>37,582,748</w:t>
            </w:r>
            <w:bookmarkStart w:id="268" w:name="XBRL_CE_0daf2d72e05241728869fa18d736edf3"/>
            <w:bookmarkEnd w:id="267"/>
            <w:bookmarkEnd w:id="268"/>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163"/>
        </w:trPr>
        <w:tc>
          <w:tcPr>
            <w:tcW w:w="553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72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5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ILGTERMIŅA IEGULDĪJUMI KOPĀ</w:t>
            </w:r>
          </w:p>
        </w:tc>
        <w:tc>
          <w:tcPr>
            <w:tcW w:w="72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1650" w:type="dxa"/>
            <w:gridSpan w:val="2"/>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269" w:name="XBRL_CS_48449756636e484da630af7143dd03b8"/>
            <w:bookmarkEnd w:id="269"/>
            <w:bookmarkStart w:id="270" w:name="48449756636e484da630af7143dd03b8"/>
            <w:r>
              <w:rPr>
                <w:rFonts w:ascii="Arial Narrow" w:eastAsia="Arial Narrow" w:hAnsi="Arial Narrow" w:cs="Arial Narrow"/>
                <w:b/>
                <w:i w:val="0"/>
                <w:strike w:val="0"/>
                <w:color w:val="000000"/>
                <w:sz w:val="16"/>
                <w:u w:val="none"/>
                <w:vertAlign w:val="baseline"/>
              </w:rPr>
              <w:t>51,527,836</w:t>
            </w:r>
            <w:bookmarkStart w:id="271" w:name="XBRL_CE_48449756636e484da630af7143dd03b8"/>
            <w:bookmarkEnd w:id="270"/>
            <w:bookmarkEnd w:id="271"/>
          </w:p>
        </w:tc>
        <w:tc>
          <w:tcPr>
            <w:tcW w:w="1650" w:type="dxa"/>
            <w:gridSpan w:val="2"/>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272" w:name="XBRL_CS_1743015d84b3484193438d56c6b75146"/>
            <w:bookmarkEnd w:id="272"/>
            <w:bookmarkStart w:id="273" w:name="1743015d84b3484193438d56c6b75146"/>
            <w:r>
              <w:rPr>
                <w:rFonts w:ascii="Arial Narrow" w:eastAsia="Arial Narrow" w:hAnsi="Arial Narrow" w:cs="Arial Narrow"/>
                <w:b/>
                <w:i w:val="0"/>
                <w:strike w:val="0"/>
                <w:color w:val="000000"/>
                <w:sz w:val="16"/>
                <w:u w:val="none"/>
                <w:vertAlign w:val="baseline"/>
              </w:rPr>
              <w:t>53,416,823</w:t>
            </w:r>
            <w:bookmarkStart w:id="274" w:name="XBRL_CE_1743015d84b3484193438d56c6b75146"/>
            <w:bookmarkEnd w:id="273"/>
            <w:bookmarkEnd w:id="274"/>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163"/>
        </w:trPr>
        <w:tc>
          <w:tcPr>
            <w:tcW w:w="553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72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Debitori un citi apgrozāmie līdzekļi</w:t>
            </w:r>
          </w:p>
        </w:tc>
        <w:tc>
          <w:tcPr>
            <w:tcW w:w="72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gridSpan w:val="2"/>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650" w:type="dxa"/>
            <w:gridSpan w:val="2"/>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 finanšu nomas izrietošās prasības</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19</w:t>
            </w:r>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75" w:name="XBRL_CS_2f382dcdc8cc4fb79753953cbcd2c42f"/>
            <w:bookmarkEnd w:id="275"/>
            <w:bookmarkStart w:id="276" w:name="2f382dcdc8cc4fb79753953cbcd2c42f"/>
            <w:r>
              <w:rPr>
                <w:rFonts w:ascii="Arial Narrow" w:eastAsia="Arial Narrow" w:hAnsi="Arial Narrow" w:cs="Arial Narrow"/>
                <w:b w:val="0"/>
                <w:i w:val="0"/>
                <w:strike w:val="0"/>
                <w:color w:val="000000"/>
                <w:sz w:val="16"/>
                <w:u w:val="none"/>
                <w:vertAlign w:val="baseline"/>
              </w:rPr>
              <w:t>462,314</w:t>
            </w:r>
            <w:bookmarkStart w:id="277" w:name="XBRL_CE_2f382dcdc8cc4fb79753953cbcd2c42f"/>
            <w:bookmarkEnd w:id="276"/>
            <w:bookmarkEnd w:id="277"/>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78" w:name="XBRL_CS_929de8d7bbb64b3fabc1b3aa27de9c0b"/>
            <w:bookmarkEnd w:id="278"/>
            <w:bookmarkStart w:id="279" w:name="929de8d7bbb64b3fabc1b3aa27de9c0b"/>
            <w:r>
              <w:rPr>
                <w:rFonts w:ascii="Arial Narrow" w:eastAsia="Arial Narrow" w:hAnsi="Arial Narrow" w:cs="Arial Narrow"/>
                <w:b w:val="0"/>
                <w:i w:val="0"/>
                <w:strike w:val="0"/>
                <w:color w:val="000000"/>
                <w:sz w:val="16"/>
                <w:u w:val="none"/>
                <w:vertAlign w:val="baseline"/>
              </w:rPr>
              <w:t>872,351</w:t>
            </w:r>
            <w:bookmarkStart w:id="280" w:name="XBRL_CE_929de8d7bbb64b3fabc1b3aa27de9c0b"/>
            <w:bookmarkEnd w:id="279"/>
            <w:bookmarkEnd w:id="280"/>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Kredīti un izsniegtie avansi</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w:t>
            </w:r>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81" w:name="XBRL_CS_c8147926f856457ba4c698b5dd3903a9"/>
            <w:bookmarkEnd w:id="281"/>
            <w:bookmarkStart w:id="282" w:name="c8147926f856457ba4c698b5dd3903a9"/>
            <w:r>
              <w:rPr>
                <w:rFonts w:ascii="Arial Narrow" w:eastAsia="Arial Narrow" w:hAnsi="Arial Narrow" w:cs="Arial Narrow"/>
                <w:b w:val="0"/>
                <w:i w:val="0"/>
                <w:strike w:val="0"/>
                <w:color w:val="000000"/>
                <w:sz w:val="16"/>
                <w:u w:val="none"/>
                <w:vertAlign w:val="baseline"/>
              </w:rPr>
              <w:t>963,524</w:t>
            </w:r>
            <w:bookmarkStart w:id="283" w:name="XBRL_CE_c8147926f856457ba4c698b5dd3903a9"/>
            <w:bookmarkEnd w:id="282"/>
            <w:bookmarkEnd w:id="283"/>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84" w:name="XBRL_CS_eff981a8cfeb459ca4fdc01ac78e8ca6"/>
            <w:bookmarkEnd w:id="284"/>
            <w:bookmarkStart w:id="285" w:name="eff981a8cfeb459ca4fdc01ac78e8ca6"/>
            <w:r>
              <w:rPr>
                <w:rFonts w:ascii="Arial Narrow" w:eastAsia="Arial Narrow" w:hAnsi="Arial Narrow" w:cs="Arial Narrow"/>
                <w:b w:val="0"/>
                <w:i w:val="0"/>
                <w:strike w:val="0"/>
                <w:color w:val="000000"/>
                <w:sz w:val="16"/>
                <w:u w:val="none"/>
                <w:vertAlign w:val="baseline"/>
              </w:rPr>
              <w:t>2,657,254</w:t>
            </w:r>
            <w:bookmarkStart w:id="286" w:name="XBRL_CE_eff981a8cfeb459ca4fdc01ac78e8ca6"/>
            <w:bookmarkEnd w:id="285"/>
            <w:bookmarkEnd w:id="286"/>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Aizdevumi saistītajām pusēm</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36</w:t>
            </w:r>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87" w:name="XBRL_CS_ca2c5358e0b24a7d8fc6d7a3fdb6ebf9"/>
            <w:bookmarkEnd w:id="287"/>
            <w:bookmarkStart w:id="288" w:name="ca2c5358e0b24a7d8fc6d7a3fdb6ebf9"/>
            <w:r>
              <w:rPr>
                <w:rFonts w:ascii="Arial Narrow" w:eastAsia="Arial Narrow" w:hAnsi="Arial Narrow" w:cs="Arial Narrow"/>
                <w:b w:val="0"/>
                <w:i w:val="0"/>
                <w:strike w:val="0"/>
                <w:color w:val="000000"/>
                <w:sz w:val="16"/>
                <w:u w:val="none"/>
                <w:vertAlign w:val="baseline"/>
              </w:rPr>
              <w:t>-</w:t>
            </w:r>
            <w:bookmarkStart w:id="289" w:name="XBRL_CE_ca2c5358e0b24a7d8fc6d7a3fdb6ebf9"/>
            <w:bookmarkEnd w:id="288"/>
            <w:bookmarkEnd w:id="289"/>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90" w:name="XBRL_CS_96fdc9053f9f486cad0173ee8bf7572b"/>
            <w:bookmarkEnd w:id="290"/>
            <w:bookmarkStart w:id="291" w:name="96fdc9053f9f486cad0173ee8bf7572b"/>
            <w:r>
              <w:rPr>
                <w:rFonts w:ascii="Arial Narrow" w:eastAsia="Arial Narrow" w:hAnsi="Arial Narrow" w:cs="Arial Narrow"/>
                <w:b w:val="0"/>
                <w:i w:val="0"/>
                <w:strike w:val="0"/>
                <w:color w:val="000000"/>
                <w:sz w:val="16"/>
                <w:u w:val="none"/>
                <w:vertAlign w:val="baseline"/>
              </w:rPr>
              <w:t>246,530</w:t>
            </w:r>
            <w:bookmarkStart w:id="292" w:name="XBRL_CE_96fdc9053f9f486cad0173ee8bf7572b"/>
            <w:bookmarkEnd w:id="291"/>
            <w:bookmarkEnd w:id="292"/>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Saistīto pušu debitoru parādi</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23</w:t>
            </w:r>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93" w:name="XBRL_CS_3bf1bee44620457ba8d25f568ba478ad"/>
            <w:bookmarkEnd w:id="293"/>
            <w:bookmarkStart w:id="294" w:name="3bf1bee44620457ba8d25f568ba478ad"/>
            <w:r>
              <w:rPr>
                <w:rFonts w:ascii="Arial Narrow" w:eastAsia="Arial Narrow" w:hAnsi="Arial Narrow" w:cs="Arial Narrow"/>
                <w:b w:val="0"/>
                <w:i w:val="0"/>
                <w:strike w:val="0"/>
                <w:color w:val="000000"/>
                <w:sz w:val="16"/>
                <w:u w:val="none"/>
                <w:vertAlign w:val="baseline"/>
              </w:rPr>
              <w:t>868,127</w:t>
            </w:r>
            <w:bookmarkStart w:id="295" w:name="XBRL_CE_3bf1bee44620457ba8d25f568ba478ad"/>
            <w:bookmarkEnd w:id="294"/>
            <w:bookmarkEnd w:id="295"/>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96" w:name="XBRL_CS_d5ef0987a9b54269ab347cd7d59ee721"/>
            <w:bookmarkEnd w:id="296"/>
            <w:bookmarkStart w:id="297" w:name="d5ef0987a9b54269ab347cd7d59ee721"/>
            <w:r>
              <w:rPr>
                <w:rFonts w:ascii="Arial Narrow" w:eastAsia="Arial Narrow" w:hAnsi="Arial Narrow" w:cs="Arial Narrow"/>
                <w:b w:val="0"/>
                <w:i w:val="0"/>
                <w:strike w:val="0"/>
                <w:color w:val="000000"/>
                <w:sz w:val="16"/>
                <w:u w:val="none"/>
                <w:vertAlign w:val="baseline"/>
              </w:rPr>
              <w:t>355,622</w:t>
            </w:r>
            <w:bookmarkStart w:id="298" w:name="XBRL_CE_d5ef0987a9b54269ab347cd7d59ee721"/>
            <w:bookmarkEnd w:id="297"/>
            <w:bookmarkEnd w:id="298"/>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Pircēju un pasūtītāju parādi</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25</w:t>
            </w:r>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299" w:name="XBRL_CS_da3e01e7e0be4deaa8b8c655c7845b3f"/>
            <w:bookmarkEnd w:id="299"/>
            <w:bookmarkStart w:id="300" w:name="da3e01e7e0be4deaa8b8c655c7845b3f"/>
            <w:r>
              <w:rPr>
                <w:rFonts w:ascii="Arial Narrow" w:eastAsia="Arial Narrow" w:hAnsi="Arial Narrow" w:cs="Arial Narrow"/>
                <w:b w:val="0"/>
                <w:i w:val="0"/>
                <w:strike w:val="0"/>
                <w:color w:val="000000"/>
                <w:sz w:val="16"/>
                <w:u w:val="none"/>
                <w:vertAlign w:val="baseline"/>
              </w:rPr>
              <w:t>326,297</w:t>
            </w:r>
            <w:bookmarkStart w:id="301" w:name="XBRL_CE_da3e01e7e0be4deaa8b8c655c7845b3f"/>
            <w:bookmarkEnd w:id="300"/>
            <w:bookmarkEnd w:id="301"/>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02" w:name="XBRL_CS_37219f22f5864a92813e1c936f932f59"/>
            <w:bookmarkEnd w:id="302"/>
            <w:bookmarkStart w:id="303" w:name="37219f22f5864a92813e1c936f932f59"/>
            <w:r>
              <w:rPr>
                <w:rFonts w:ascii="Arial Narrow" w:eastAsia="Arial Narrow" w:hAnsi="Arial Narrow" w:cs="Arial Narrow"/>
                <w:b w:val="0"/>
                <w:i w:val="0"/>
                <w:strike w:val="0"/>
                <w:color w:val="000000"/>
                <w:sz w:val="16"/>
                <w:u w:val="none"/>
                <w:vertAlign w:val="baseline"/>
              </w:rPr>
              <w:t>420,792</w:t>
            </w:r>
            <w:bookmarkStart w:id="304" w:name="XBRL_CE_37219f22f5864a92813e1c936f932f59"/>
            <w:bookmarkEnd w:id="303"/>
            <w:bookmarkEnd w:id="304"/>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Nākamo periodu izmaksas</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24</w:t>
            </w:r>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05" w:name="XBRL_CS_d0a87e4c320e4891b409febed9bc88db"/>
            <w:bookmarkEnd w:id="305"/>
            <w:bookmarkStart w:id="306" w:name="d0a87e4c320e4891b409febed9bc88db"/>
            <w:r>
              <w:rPr>
                <w:rFonts w:ascii="Arial Narrow" w:eastAsia="Arial Narrow" w:hAnsi="Arial Narrow" w:cs="Arial Narrow"/>
                <w:b w:val="0"/>
                <w:i w:val="0"/>
                <w:strike w:val="0"/>
                <w:color w:val="000000"/>
                <w:sz w:val="16"/>
                <w:u w:val="none"/>
                <w:vertAlign w:val="baseline"/>
              </w:rPr>
              <w:t>86,329</w:t>
            </w:r>
            <w:bookmarkStart w:id="307" w:name="XBRL_CE_d0a87e4c320e4891b409febed9bc88db"/>
            <w:bookmarkEnd w:id="306"/>
            <w:bookmarkEnd w:id="307"/>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08" w:name="XBRL_CS_6c924032b2674f11b3de0b842f14ff12"/>
            <w:bookmarkEnd w:id="308"/>
            <w:bookmarkStart w:id="309" w:name="6c924032b2674f11b3de0b842f14ff12"/>
            <w:r>
              <w:rPr>
                <w:rFonts w:ascii="Arial Narrow" w:eastAsia="Arial Narrow" w:hAnsi="Arial Narrow" w:cs="Arial Narrow"/>
                <w:b w:val="0"/>
                <w:i w:val="0"/>
                <w:strike w:val="0"/>
                <w:color w:val="000000"/>
                <w:sz w:val="16"/>
                <w:u w:val="none"/>
                <w:vertAlign w:val="baseline"/>
              </w:rPr>
              <w:t>114,993</w:t>
            </w:r>
            <w:bookmarkStart w:id="310" w:name="XBRL_CE_6c924032b2674f11b3de0b842f14ff12"/>
            <w:bookmarkEnd w:id="309"/>
            <w:bookmarkEnd w:id="310"/>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Citi debitori</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26</w:t>
            </w:r>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11" w:name="XBRL_CS_eadd7b3ac1444a8fb9ac7748621189d4"/>
            <w:bookmarkEnd w:id="311"/>
            <w:bookmarkStart w:id="312" w:name="eadd7b3ac1444a8fb9ac7748621189d4"/>
            <w:r>
              <w:rPr>
                <w:rFonts w:ascii="Arial Narrow" w:eastAsia="Arial Narrow" w:hAnsi="Arial Narrow" w:cs="Arial Narrow"/>
                <w:b w:val="0"/>
                <w:i w:val="0"/>
                <w:strike w:val="0"/>
                <w:color w:val="000000"/>
                <w:sz w:val="16"/>
                <w:u w:val="none"/>
                <w:vertAlign w:val="baseline"/>
              </w:rPr>
              <w:t>40,639</w:t>
            </w:r>
            <w:bookmarkStart w:id="313" w:name="XBRL_CE_eadd7b3ac1444a8fb9ac7748621189d4"/>
            <w:bookmarkEnd w:id="312"/>
            <w:bookmarkEnd w:id="313"/>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14" w:name="XBRL_CS_3ec1d3b1eb07400d9b48b741269eafe5"/>
            <w:bookmarkEnd w:id="314"/>
            <w:bookmarkStart w:id="315" w:name="3ec1d3b1eb07400d9b48b741269eafe5"/>
            <w:r>
              <w:rPr>
                <w:rFonts w:ascii="Arial Narrow" w:eastAsia="Arial Narrow" w:hAnsi="Arial Narrow" w:cs="Arial Narrow"/>
                <w:b w:val="0"/>
                <w:i w:val="0"/>
                <w:strike w:val="0"/>
                <w:color w:val="000000"/>
                <w:sz w:val="16"/>
                <w:u w:val="none"/>
                <w:vertAlign w:val="baseline"/>
              </w:rPr>
              <w:t>293,961</w:t>
            </w:r>
            <w:bookmarkStart w:id="316" w:name="XBRL_CE_3ec1d3b1eb07400d9b48b741269eafe5"/>
            <w:bookmarkEnd w:id="315"/>
            <w:bookmarkEnd w:id="316"/>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Līguma aktīvi</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27</w:t>
            </w:r>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17" w:name="XBRL_CS_b333ea9bbe2a45c6bcb08b98db748979"/>
            <w:bookmarkEnd w:id="317"/>
            <w:bookmarkStart w:id="318" w:name="b333ea9bbe2a45c6bcb08b98db748979"/>
            <w:r>
              <w:rPr>
                <w:rFonts w:ascii="Arial Narrow" w:eastAsia="Arial Narrow" w:hAnsi="Arial Narrow" w:cs="Arial Narrow"/>
                <w:b w:val="0"/>
                <w:i w:val="0"/>
                <w:strike w:val="0"/>
                <w:color w:val="000000"/>
                <w:sz w:val="16"/>
                <w:u w:val="none"/>
                <w:vertAlign w:val="baseline"/>
              </w:rPr>
              <w:t>471,061</w:t>
            </w:r>
            <w:bookmarkStart w:id="319" w:name="XBRL_CE_b333ea9bbe2a45c6bcb08b98db748979"/>
            <w:bookmarkEnd w:id="318"/>
            <w:bookmarkEnd w:id="319"/>
          </w:p>
        </w:tc>
        <w:tc>
          <w:tcPr>
            <w:tcW w:w="165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20" w:name="XBRL_CS_cc6fcf8662b84c38aad22cbe01703cf6"/>
            <w:bookmarkEnd w:id="320"/>
            <w:bookmarkStart w:id="321" w:name="cc6fcf8662b84c38aad22cbe01703cf6"/>
            <w:r>
              <w:rPr>
                <w:rFonts w:ascii="Arial Narrow" w:eastAsia="Arial Narrow" w:hAnsi="Arial Narrow" w:cs="Arial Narrow"/>
                <w:b w:val="0"/>
                <w:i w:val="0"/>
                <w:strike w:val="0"/>
                <w:color w:val="000000"/>
                <w:sz w:val="16"/>
                <w:u w:val="none"/>
                <w:vertAlign w:val="baseline"/>
              </w:rPr>
              <w:t>370,948</w:t>
            </w:r>
            <w:bookmarkStart w:id="322" w:name="XBRL_CE_cc6fcf8662b84c38aad22cbe01703cf6"/>
            <w:bookmarkEnd w:id="321"/>
            <w:bookmarkEnd w:id="322"/>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Nauda un naudas ekvivalenti</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28</w:t>
            </w:r>
          </w:p>
        </w:tc>
        <w:tc>
          <w:tcPr>
            <w:tcW w:w="165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23" w:name="XBRL_CS_a112bc2ffe1f4b929c094f0c687c20e0"/>
            <w:bookmarkEnd w:id="323"/>
            <w:bookmarkStart w:id="324" w:name="a112bc2ffe1f4b929c094f0c687c20e0"/>
            <w:r>
              <w:rPr>
                <w:rFonts w:ascii="Arial Narrow" w:eastAsia="Arial Narrow" w:hAnsi="Arial Narrow" w:cs="Arial Narrow"/>
                <w:b w:val="0"/>
                <w:i w:val="0"/>
                <w:strike w:val="0"/>
                <w:color w:val="000000"/>
                <w:sz w:val="16"/>
                <w:u w:val="none"/>
                <w:vertAlign w:val="baseline"/>
              </w:rPr>
              <w:t>403,812</w:t>
            </w:r>
            <w:bookmarkStart w:id="325" w:name="XBRL_CE_a112bc2ffe1f4b929c094f0c687c20e0"/>
            <w:bookmarkEnd w:id="324"/>
            <w:bookmarkEnd w:id="325"/>
          </w:p>
        </w:tc>
        <w:tc>
          <w:tcPr>
            <w:tcW w:w="165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26" w:name="XBRL_CS_d05f0eff60cf44f0b143abdb567e7106"/>
            <w:bookmarkEnd w:id="326"/>
            <w:bookmarkStart w:id="327" w:name="d05f0eff60cf44f0b143abdb567e7106"/>
            <w:r>
              <w:rPr>
                <w:rFonts w:ascii="Arial Narrow" w:eastAsia="Arial Narrow" w:hAnsi="Arial Narrow" w:cs="Arial Narrow"/>
                <w:b w:val="0"/>
                <w:i w:val="0"/>
                <w:strike w:val="0"/>
                <w:color w:val="000000"/>
                <w:sz w:val="16"/>
                <w:u w:val="none"/>
                <w:vertAlign w:val="baseline"/>
              </w:rPr>
              <w:t>160,318</w:t>
            </w:r>
            <w:bookmarkStart w:id="328" w:name="XBRL_CE_d05f0eff60cf44f0b143abdb567e7106"/>
            <w:bookmarkEnd w:id="327"/>
            <w:bookmarkEnd w:id="328"/>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debitori un citi apgrozāmie līdzekļi</w:t>
            </w:r>
          </w:p>
        </w:tc>
        <w:tc>
          <w:tcPr>
            <w:tcW w:w="72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gridSpan w:val="2"/>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329" w:name="XBRL_CS_2e860d8e292e4e22a5fd708141194f7d"/>
            <w:bookmarkEnd w:id="329"/>
            <w:bookmarkStart w:id="330" w:name="2e860d8e292e4e22a5fd708141194f7d"/>
            <w:r>
              <w:rPr>
                <w:rFonts w:ascii="Arial Narrow" w:eastAsia="Arial Narrow" w:hAnsi="Arial Narrow" w:cs="Arial Narrow"/>
                <w:b/>
                <w:i w:val="0"/>
                <w:strike w:val="0"/>
                <w:color w:val="000000"/>
                <w:sz w:val="16"/>
                <w:u w:val="none"/>
                <w:vertAlign w:val="baseline"/>
              </w:rPr>
              <w:t>3,622,103</w:t>
            </w:r>
            <w:bookmarkStart w:id="331" w:name="XBRL_CE_2e860d8e292e4e22a5fd708141194f7d"/>
            <w:bookmarkEnd w:id="330"/>
            <w:bookmarkEnd w:id="331"/>
          </w:p>
        </w:tc>
        <w:tc>
          <w:tcPr>
            <w:tcW w:w="1650" w:type="dxa"/>
            <w:gridSpan w:val="2"/>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332" w:name="XBRL_CS_d1808b4430f14a5898521c538ccba9d7"/>
            <w:bookmarkEnd w:id="332"/>
            <w:bookmarkStart w:id="333" w:name="d1808b4430f14a5898521c538ccba9d7"/>
            <w:r>
              <w:rPr>
                <w:rFonts w:ascii="Arial Narrow" w:eastAsia="Arial Narrow" w:hAnsi="Arial Narrow" w:cs="Arial Narrow"/>
                <w:b/>
                <w:i w:val="0"/>
                <w:strike w:val="0"/>
                <w:color w:val="000000"/>
                <w:sz w:val="16"/>
                <w:u w:val="none"/>
                <w:vertAlign w:val="baseline"/>
              </w:rPr>
              <w:t>5,492,769</w:t>
            </w:r>
            <w:bookmarkStart w:id="334" w:name="XBRL_CE_d1808b4430f14a5898521c538ccba9d7"/>
            <w:bookmarkEnd w:id="333"/>
            <w:bookmarkEnd w:id="334"/>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163"/>
        </w:trPr>
        <w:tc>
          <w:tcPr>
            <w:tcW w:w="553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72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gridSpan w:val="2"/>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650" w:type="dxa"/>
            <w:gridSpan w:val="2"/>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Pārdošanai turēti aktīvi</w:t>
            </w:r>
          </w:p>
        </w:tc>
        <w:tc>
          <w:tcPr>
            <w:tcW w:w="72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22</w:t>
            </w:r>
          </w:p>
        </w:tc>
        <w:tc>
          <w:tcPr>
            <w:tcW w:w="165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35" w:name="XBRL_CS_89888c5315194158aff457f7f6e6de7f"/>
            <w:bookmarkEnd w:id="335"/>
            <w:bookmarkStart w:id="336" w:name="89888c5315194158aff457f7f6e6de7f"/>
            <w:r>
              <w:rPr>
                <w:rFonts w:ascii="Arial Narrow" w:eastAsia="Arial Narrow" w:hAnsi="Arial Narrow" w:cs="Arial Narrow"/>
                <w:b w:val="0"/>
                <w:i w:val="0"/>
                <w:strike w:val="0"/>
                <w:color w:val="000000"/>
                <w:sz w:val="16"/>
                <w:u w:val="none"/>
                <w:vertAlign w:val="baseline"/>
              </w:rPr>
              <w:t>32,117</w:t>
            </w:r>
            <w:bookmarkStart w:id="337" w:name="XBRL_CE_89888c5315194158aff457f7f6e6de7f"/>
            <w:bookmarkEnd w:id="336"/>
            <w:bookmarkEnd w:id="337"/>
          </w:p>
        </w:tc>
        <w:tc>
          <w:tcPr>
            <w:tcW w:w="165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38" w:name="XBRL_CS_718146c6204c42b8be9c3af2da0cfd9d"/>
            <w:bookmarkEnd w:id="338"/>
            <w:bookmarkStart w:id="339" w:name="718146c6204c42b8be9c3af2da0cfd9d"/>
            <w:r>
              <w:rPr>
                <w:rFonts w:ascii="Arial Narrow" w:eastAsia="Arial Narrow" w:hAnsi="Arial Narrow" w:cs="Arial Narrow"/>
                <w:b w:val="0"/>
                <w:i w:val="0"/>
                <w:strike w:val="0"/>
                <w:color w:val="000000"/>
                <w:sz w:val="16"/>
                <w:u w:val="none"/>
                <w:vertAlign w:val="baseline"/>
              </w:rPr>
              <w:t>62,640</w:t>
            </w:r>
            <w:bookmarkStart w:id="340" w:name="XBRL_CE_718146c6204c42b8be9c3af2da0cfd9d"/>
            <w:bookmarkEnd w:id="339"/>
            <w:bookmarkEnd w:id="340"/>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pārdošanai turēti aktīvi</w:t>
            </w:r>
          </w:p>
        </w:tc>
        <w:tc>
          <w:tcPr>
            <w:tcW w:w="72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gridSpan w:val="2"/>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341" w:name="XBRL_CS_934b1c44d6224648a83d8cc6794f3c6d"/>
            <w:bookmarkEnd w:id="341"/>
            <w:bookmarkStart w:id="342" w:name="934b1c44d6224648a83d8cc6794f3c6d"/>
            <w:r>
              <w:rPr>
                <w:rFonts w:ascii="Arial Narrow" w:eastAsia="Arial Narrow" w:hAnsi="Arial Narrow" w:cs="Arial Narrow"/>
                <w:b/>
                <w:i w:val="0"/>
                <w:strike w:val="0"/>
                <w:color w:val="000000"/>
                <w:sz w:val="16"/>
                <w:u w:val="none"/>
                <w:vertAlign w:val="baseline"/>
              </w:rPr>
              <w:t>32,117</w:t>
            </w:r>
            <w:bookmarkStart w:id="343" w:name="XBRL_CE_934b1c44d6224648a83d8cc6794f3c6d"/>
            <w:bookmarkEnd w:id="342"/>
            <w:bookmarkEnd w:id="343"/>
          </w:p>
        </w:tc>
        <w:tc>
          <w:tcPr>
            <w:tcW w:w="1650" w:type="dxa"/>
            <w:gridSpan w:val="2"/>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344" w:name="XBRL_CS_3abd3fb05c254473ad10010258496bc1"/>
            <w:bookmarkEnd w:id="344"/>
            <w:bookmarkStart w:id="345" w:name="3abd3fb05c254473ad10010258496bc1"/>
            <w:r>
              <w:rPr>
                <w:rFonts w:ascii="Arial Narrow" w:eastAsia="Arial Narrow" w:hAnsi="Arial Narrow" w:cs="Arial Narrow"/>
                <w:b/>
                <w:i w:val="0"/>
                <w:strike w:val="0"/>
                <w:color w:val="000000"/>
                <w:sz w:val="16"/>
                <w:u w:val="none"/>
                <w:vertAlign w:val="baseline"/>
              </w:rPr>
              <w:t>62,640</w:t>
            </w:r>
            <w:bookmarkStart w:id="346" w:name="XBRL_CE_3abd3fb05c254473ad10010258496bc1"/>
            <w:bookmarkEnd w:id="345"/>
            <w:bookmarkEnd w:id="346"/>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163"/>
        </w:trPr>
        <w:tc>
          <w:tcPr>
            <w:tcW w:w="553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72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nil"/>
              <w:left w:val="nil"/>
              <w:bottom w:val="single" w:sz="8" w:space="0" w:color="000000"/>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APGROZĀMIE LĪDZEKĻI</w:t>
            </w:r>
          </w:p>
        </w:tc>
        <w:tc>
          <w:tcPr>
            <w:tcW w:w="720" w:type="dxa"/>
            <w:tcBorders>
              <w:top w:val="nil"/>
              <w:left w:val="nil"/>
              <w:bottom w:val="single" w:sz="8" w:space="0" w:color="000000"/>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gridSpan w:val="2"/>
            <w:tcBorders>
              <w:top w:val="nil"/>
              <w:left w:val="nil"/>
              <w:bottom w:val="single" w:sz="8"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347" w:name="XBRL_CS_2a8ae07a1c184f378033bdd3617fad73"/>
            <w:bookmarkEnd w:id="347"/>
            <w:bookmarkStart w:id="348" w:name="2a8ae07a1c184f378033bdd3617fad73"/>
            <w:r>
              <w:rPr>
                <w:rFonts w:ascii="Arial Narrow" w:eastAsia="Arial Narrow" w:hAnsi="Arial Narrow" w:cs="Arial Narrow"/>
                <w:b/>
                <w:i w:val="0"/>
                <w:strike w:val="0"/>
                <w:color w:val="000000"/>
                <w:sz w:val="16"/>
                <w:u w:val="none"/>
                <w:vertAlign w:val="baseline"/>
              </w:rPr>
              <w:t>3,654,220</w:t>
            </w:r>
            <w:bookmarkStart w:id="349" w:name="XBRL_CE_2a8ae07a1c184f378033bdd3617fad73"/>
            <w:bookmarkEnd w:id="348"/>
            <w:bookmarkEnd w:id="349"/>
          </w:p>
        </w:tc>
        <w:tc>
          <w:tcPr>
            <w:tcW w:w="1650" w:type="dxa"/>
            <w:gridSpan w:val="2"/>
            <w:tcBorders>
              <w:top w:val="nil"/>
              <w:left w:val="nil"/>
              <w:bottom w:val="single" w:sz="8"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350" w:name="XBRL_CS_75422270f62c4df5bb3106a8fde1ef80"/>
            <w:bookmarkEnd w:id="350"/>
            <w:bookmarkStart w:id="351" w:name="75422270f62c4df5bb3106a8fde1ef80"/>
            <w:r>
              <w:rPr>
                <w:rFonts w:ascii="Arial Narrow" w:eastAsia="Arial Narrow" w:hAnsi="Arial Narrow" w:cs="Arial Narrow"/>
                <w:b/>
                <w:i w:val="0"/>
                <w:strike w:val="0"/>
                <w:color w:val="000000"/>
                <w:sz w:val="16"/>
                <w:u w:val="none"/>
                <w:vertAlign w:val="baseline"/>
              </w:rPr>
              <w:t>5,555,409</w:t>
            </w:r>
            <w:bookmarkStart w:id="352" w:name="XBRL_CE_75422270f62c4df5bb3106a8fde1ef80"/>
            <w:bookmarkEnd w:id="351"/>
            <w:bookmarkEnd w:id="352"/>
          </w:p>
        </w:tc>
      </w:tr>
      <w:tr>
        <w:tblPrEx>
          <w:tblW w:w="9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535" w:type="dxa"/>
            <w:tcBorders>
              <w:top w:val="single" w:sz="8" w:space="0" w:color="000000"/>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AKTĪVI</w:t>
            </w:r>
          </w:p>
        </w:tc>
        <w:tc>
          <w:tcPr>
            <w:tcW w:w="720" w:type="dxa"/>
            <w:tcBorders>
              <w:top w:val="single" w:sz="8" w:space="0" w:color="000000"/>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gridSpan w:val="2"/>
            <w:tcBorders>
              <w:top w:val="single" w:sz="8" w:space="0" w:color="000000"/>
              <w:left w:val="nil"/>
              <w:bottom w:val="single" w:sz="8"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353" w:name="XBRL_CS_f801faeb41fd4a70890854032af78d9b"/>
            <w:bookmarkEnd w:id="353"/>
            <w:bookmarkStart w:id="354" w:name="f801faeb41fd4a70890854032af78d9b"/>
            <w:r>
              <w:rPr>
                <w:rFonts w:ascii="Arial Narrow" w:eastAsia="Arial Narrow" w:hAnsi="Arial Narrow" w:cs="Arial Narrow"/>
                <w:b/>
                <w:i w:val="0"/>
                <w:strike w:val="0"/>
                <w:color w:val="000000"/>
                <w:sz w:val="16"/>
                <w:u w:val="none"/>
                <w:vertAlign w:val="baseline"/>
              </w:rPr>
              <w:t>55,182,056</w:t>
            </w:r>
            <w:bookmarkStart w:id="355" w:name="XBRL_CE_f801faeb41fd4a70890854032af78d9b"/>
            <w:bookmarkEnd w:id="354"/>
            <w:bookmarkEnd w:id="355"/>
          </w:p>
        </w:tc>
        <w:tc>
          <w:tcPr>
            <w:tcW w:w="1650" w:type="dxa"/>
            <w:gridSpan w:val="2"/>
            <w:tcBorders>
              <w:top w:val="single" w:sz="8" w:space="0" w:color="000000"/>
              <w:left w:val="nil"/>
              <w:bottom w:val="single" w:sz="8"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356" w:name="XBRL_CS_e479ff7a2de241c7bf6218af3d820bbc"/>
            <w:bookmarkEnd w:id="356"/>
            <w:bookmarkStart w:id="357" w:name="e479ff7a2de241c7bf6218af3d820bbc"/>
            <w:r>
              <w:rPr>
                <w:rFonts w:ascii="Arial Narrow" w:eastAsia="Arial Narrow" w:hAnsi="Arial Narrow" w:cs="Arial Narrow"/>
                <w:b/>
                <w:i w:val="0"/>
                <w:strike w:val="0"/>
                <w:color w:val="000000"/>
                <w:sz w:val="16"/>
                <w:u w:val="none"/>
                <w:vertAlign w:val="baseline"/>
              </w:rPr>
              <w:t>58,972,232</w:t>
            </w:r>
            <w:bookmarkStart w:id="358" w:name="XBRL_CE_e479ff7a2de241c7bf6218af3d820bbc"/>
            <w:bookmarkEnd w:id="357"/>
            <w:bookmarkEnd w:id="358"/>
          </w:p>
        </w:tc>
      </w:tr>
    </w:tbl>
    <w:p>
      <w:pPr>
        <w:spacing w:before="0" w:beforeAutospacing="0" w:after="0" w:afterAutospacing="0" w:line="240" w:lineRule="auto"/>
        <w:rPr>
          <w:rFonts w:ascii="Arial Narrow" w:eastAsia="Arial Narrow" w:hAnsi="Arial Narrow" w:cs="Arial Narrow"/>
          <w:sz w:val="16"/>
        </w:rPr>
      </w:pPr>
    </w:p>
    <w:p w:rsidR="009F19A6" w:rsidP="009F19A6" w14:textId="3B887F08">
      <w:pPr>
        <w:rPr>
          <w:rFonts w:ascii="Arial Narrow" w:eastAsia="Arial Narrow" w:hAnsi="Arial Narrow" w:cs="Arial Narrow"/>
          <w:sz w:val="16"/>
          <w:szCs w:val="16"/>
        </w:rPr>
      </w:pPr>
      <w:bookmarkStart w:id="359" w:name="RG_MARKER_6699"/>
      <w:r w:rsidRPr="001A00C5">
        <w:rPr>
          <w:rFonts w:ascii="Arial Narrow" w:eastAsia="Arial Narrow" w:hAnsi="Arial Narrow" w:cs="Arial Narrow"/>
          <w:sz w:val="16"/>
          <w:szCs w:val="16"/>
        </w:rPr>
        <w:t>Pielikums ir šo konsolidēto finanšu pārskatu neatņemama sastāvdaļa.</w:t>
      </w:r>
      <w:bookmarkEnd w:id="359"/>
    </w:p>
    <w:p w:rsidR="00D97566" w:rsidRPr="001A00C5" w:rsidP="009F19A6" w14:paraId="7E7E1D76" w14:textId="77777777">
      <w:pPr>
        <w:rPr>
          <w:rFonts w:ascii="Arial Narrow" w:eastAsia="Arial Narrow" w:hAnsi="Arial Narrow" w:cs="Arial Narrow"/>
          <w:sz w:val="16"/>
          <w:szCs w:val="16"/>
        </w:rPr>
      </w:pPr>
    </w:p>
    <w:p w:rsidR="00DF5FCD" w:rsidP="00DF5FCD" w14:paraId="79E3C81B" w14:textId="5C60B284">
      <w:pPr>
        <w:rPr>
          <w:rFonts w:ascii="Arial Narrow" w:eastAsia="Arial Narrow" w:hAnsi="Arial Narrow" w:cs="Arial Narrow"/>
          <w:sz w:val="16"/>
          <w:szCs w:val="16"/>
        </w:rPr>
      </w:pPr>
      <w:r>
        <w:rPr>
          <w:rFonts w:ascii="Arial Narrow" w:eastAsia="Arial Narrow" w:hAnsi="Arial Narrow" w:cs="Arial Narrow"/>
          <w:sz w:val="16"/>
          <w:szCs w:val="16"/>
        </w:rPr>
        <w:t>Koncerna vārdā 2022. gada 30</w:t>
      </w:r>
      <w:r>
        <w:rPr>
          <w:rFonts w:ascii="Arial Narrow" w:eastAsia="Arial Narrow" w:hAnsi="Arial Narrow" w:cs="Arial Narrow"/>
          <w:sz w:val="16"/>
          <w:szCs w:val="16"/>
        </w:rPr>
        <w:t>. aprīlī konsolidētos finanšu pārskatus ir parakstījuši:</w:t>
      </w:r>
    </w:p>
    <w:p w:rsidR="00DF5FCD" w:rsidP="00DF5FCD" w14:paraId="3280BBF4" w14:textId="77777777">
      <w:pPr>
        <w:spacing w:after="0" w:line="360" w:lineRule="auto"/>
        <w:rPr>
          <w:rFonts w:ascii="Arial Narrow" w:eastAsia="Arial Narrow" w:hAnsi="Arial Narrow" w:cs="Arial Narrow"/>
          <w:sz w:val="16"/>
          <w:szCs w:val="16"/>
        </w:rPr>
      </w:pPr>
      <w:r>
        <w:rPr>
          <w:rFonts w:ascii="Arial Narrow" w:eastAsia="Arial Narrow" w:hAnsi="Arial Narrow" w:cs="Arial Narrow"/>
          <w:sz w:val="16"/>
          <w:szCs w:val="16"/>
        </w:rPr>
        <w:t>Krišjānis Znotiņš, Valdes priekšsēdētājs</w:t>
      </w:r>
    </w:p>
    <w:p w:rsidR="00DF5FCD" w:rsidP="00DF5FCD" w14:paraId="0FB75B22" w14:textId="77777777">
      <w:pPr>
        <w:spacing w:after="0" w:line="360" w:lineRule="auto"/>
        <w:rPr>
          <w:rFonts w:ascii="Arial Narrow" w:eastAsia="Arial Narrow" w:hAnsi="Arial Narrow" w:cs="Arial Narrow"/>
          <w:sz w:val="16"/>
          <w:szCs w:val="16"/>
        </w:rPr>
      </w:pPr>
      <w:r>
        <w:rPr>
          <w:rFonts w:ascii="Arial Narrow" w:eastAsia="Arial Narrow" w:hAnsi="Arial Narrow" w:cs="Arial Narrow"/>
          <w:sz w:val="16"/>
          <w:szCs w:val="16"/>
        </w:rPr>
        <w:t>Aivis Lonskis, Valdes loceklis</w:t>
      </w:r>
    </w:p>
    <w:p w:rsidR="00DF5FCD" w:rsidP="00DF5FCD" w14:paraId="082FD284" w14:textId="77777777">
      <w:pPr>
        <w:spacing w:after="0" w:line="360" w:lineRule="auto"/>
        <w:rPr>
          <w:rFonts w:ascii="Arial Narrow" w:eastAsia="Arial Narrow" w:hAnsi="Arial Narrow" w:cs="Arial Narrow"/>
          <w:sz w:val="16"/>
          <w:szCs w:val="16"/>
        </w:rPr>
      </w:pPr>
      <w:r>
        <w:rPr>
          <w:rFonts w:ascii="Arial Narrow" w:eastAsia="Arial Narrow" w:hAnsi="Arial Narrow" w:cs="Arial Narrow"/>
          <w:sz w:val="16"/>
          <w:szCs w:val="16"/>
        </w:rPr>
        <w:t xml:space="preserve">Laura Bunkša, Galvenā </w:t>
      </w:r>
      <w:r>
        <w:rPr>
          <w:rFonts w:ascii="Arial Narrow" w:eastAsia="Arial Narrow" w:hAnsi="Arial Narrow" w:cs="Arial Narrow"/>
          <w:sz w:val="16"/>
          <w:szCs w:val="16"/>
        </w:rPr>
        <w:t>grāmatvede</w:t>
      </w:r>
    </w:p>
    <w:p w:rsidR="009F19A6" w:rsidP="009F19A6" w14:textId="4BF92BAE">
      <w:pPr>
        <w:spacing w:after="0"/>
        <w:jc w:val="center"/>
        <w:rPr>
          <w:rFonts w:ascii="Arial Narrow" w:eastAsia="Arial Narrow" w:hAnsi="Arial Narrow" w:cs="Arial Narrow"/>
          <w:sz w:val="16"/>
          <w:szCs w:val="16"/>
        </w:rPr>
      </w:pPr>
    </w:p>
    <w:p w:rsidR="00777F05" w:rsidRPr="001A00C5" w:rsidP="009F19A6" w14:textId="3CDABC6C">
      <w:pPr>
        <w:spacing w:after="0"/>
        <w:jc w:val="center"/>
        <w:rPr>
          <w:rFonts w:ascii="Arial Narrow" w:eastAsia="Arial Narrow" w:hAnsi="Arial Narrow" w:cs="Arial Narrow"/>
          <w:sz w:val="16"/>
          <w:szCs w:val="16"/>
        </w:rPr>
      </w:pPr>
      <w:r w:rsidRPr="001A00C5">
        <w:rPr>
          <w:rFonts w:ascii="Arial Narrow" w:eastAsia="Arial Narrow" w:hAnsi="Arial Narrow" w:cs="Arial Narrow"/>
          <w:sz w:val="16"/>
          <w:szCs w:val="16"/>
        </w:rPr>
        <w:t>ŠIS DOKUMENTS IR PARAKSTĪTS AR DROŠU ELEKTRONISKO PARAKSTU UN SATUR LAIKA ZĪMOGU</w:t>
      </w:r>
    </w:p>
    <w:tbl>
      <w:tblPr>
        <w:tblStyle w:val="CDMRange1"/>
        <w:tblW w:w="9600" w:type="dxa"/>
        <w:tblLayout w:type="fixed"/>
        <w:tblLook w:val="0600"/>
      </w:tblPr>
      <w:tblGrid>
        <w:gridCol w:w="5400"/>
        <w:gridCol w:w="900"/>
        <w:gridCol w:w="150"/>
        <w:gridCol w:w="1500"/>
        <w:gridCol w:w="150"/>
        <w:gridCol w:w="1500"/>
      </w:tblGrid>
      <w:tr>
        <w:tblPrEx>
          <w:tblW w:w="9600" w:type="dxa"/>
          <w:tblLayout w:type="fixed"/>
          <w:tblLook w:val="0600"/>
        </w:tblPrEx>
        <w:trPr>
          <w:cantSplit/>
          <w:trHeight w:hRule="exact" w:val="270"/>
        </w:trPr>
        <w:tc>
          <w:tcPr>
            <w:tcW w:w="9600" w:type="dxa"/>
            <w:gridSpan w:val="6"/>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pageBreakBefore/>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Konsolidētais finanšu stāvokļa pārskats</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163"/>
        </w:trPr>
        <w:tc>
          <w:tcPr>
            <w:tcW w:w="54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70"/>
        </w:trPr>
        <w:tc>
          <w:tcPr>
            <w:tcW w:w="9600" w:type="dxa"/>
            <w:gridSpan w:val="6"/>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PASĪVS</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163"/>
        </w:trPr>
        <w:tc>
          <w:tcPr>
            <w:tcW w:w="54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31.12.2021.</w:t>
            </w: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PAŠU KAPITĀLS</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Pielikums</w:t>
            </w:r>
          </w:p>
        </w:tc>
        <w:tc>
          <w:tcPr>
            <w:tcW w:w="165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165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Akciju kapitāls (pamatkapitāls)</w:t>
            </w:r>
          </w:p>
        </w:tc>
        <w:tc>
          <w:tcPr>
            <w:tcW w:w="90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29</w:t>
            </w:r>
          </w:p>
        </w:tc>
        <w:tc>
          <w:tcPr>
            <w:tcW w:w="1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60" w:name="XBRL_CS_cbb50cf991e04fab847c03c65d229213"/>
            <w:bookmarkEnd w:id="360"/>
            <w:bookmarkStart w:id="361" w:name="cbb50cf991e04fab847c03c65d229213"/>
            <w:r>
              <w:rPr>
                <w:rFonts w:ascii="Arial Narrow" w:eastAsia="Arial Narrow" w:hAnsi="Arial Narrow" w:cs="Arial Narrow"/>
                <w:b w:val="0"/>
                <w:i w:val="0"/>
                <w:strike w:val="0"/>
                <w:color w:val="000000"/>
                <w:sz w:val="16"/>
                <w:u w:val="none"/>
                <w:vertAlign w:val="baseline"/>
              </w:rPr>
              <w:t>425,000</w:t>
            </w:r>
            <w:bookmarkStart w:id="362" w:name="XBRL_CE_cbb50cf991e04fab847c03c65d229213"/>
            <w:bookmarkEnd w:id="361"/>
            <w:bookmarkEnd w:id="362"/>
          </w:p>
        </w:tc>
        <w:tc>
          <w:tcPr>
            <w:tcW w:w="1650" w:type="dxa"/>
            <w:gridSpan w:val="2"/>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63" w:name="XBRL_CS_9914468a02f849b5b0e0d72f5adced97"/>
            <w:bookmarkEnd w:id="363"/>
            <w:bookmarkStart w:id="364" w:name="9914468a02f849b5b0e0d72f5adced97"/>
            <w:r>
              <w:rPr>
                <w:rFonts w:ascii="Arial Narrow" w:eastAsia="Arial Narrow" w:hAnsi="Arial Narrow" w:cs="Arial Narrow"/>
                <w:b w:val="0"/>
                <w:i w:val="0"/>
                <w:strike w:val="0"/>
                <w:color w:val="000000"/>
                <w:sz w:val="16"/>
                <w:u w:val="none"/>
                <w:vertAlign w:val="baseline"/>
              </w:rPr>
              <w:t>5,000,000</w:t>
            </w:r>
            <w:bookmarkStart w:id="365" w:name="XBRL_CE_9914468a02f849b5b0e0d72f5adced97"/>
            <w:bookmarkEnd w:id="364"/>
            <w:bookmarkEnd w:id="365"/>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Ārvalstu valūtu pārvērtēšanas rezerve</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29</w:t>
            </w: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66" w:name="XBRL_CS_49df51b7837f4b43af830b7676cb37e7"/>
            <w:bookmarkEnd w:id="366"/>
            <w:bookmarkStart w:id="367" w:name="49df51b7837f4b43af830b7676cb37e7"/>
            <w:r>
              <w:rPr>
                <w:rFonts w:ascii="Arial Narrow" w:eastAsia="Arial Narrow" w:hAnsi="Arial Narrow" w:cs="Arial Narrow"/>
                <w:b w:val="0"/>
                <w:i w:val="0"/>
                <w:strike w:val="0"/>
                <w:color w:val="000000"/>
                <w:sz w:val="16"/>
                <w:u w:val="none"/>
                <w:vertAlign w:val="baseline"/>
              </w:rPr>
              <w:t>1</w:t>
            </w:r>
            <w:bookmarkStart w:id="368" w:name="XBRL_CE_49df51b7837f4b43af830b7676cb37e7"/>
            <w:bookmarkEnd w:id="367"/>
            <w:bookmarkEnd w:id="368"/>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69" w:name="XBRL_CS_33c20c16ea374bd29095111fc689ff6e"/>
            <w:bookmarkEnd w:id="369"/>
            <w:bookmarkStart w:id="370" w:name="33c20c16ea374bd29095111fc689ff6e"/>
            <w:r>
              <w:rPr>
                <w:rFonts w:ascii="Arial Narrow" w:eastAsia="Arial Narrow" w:hAnsi="Arial Narrow" w:cs="Arial Narrow"/>
                <w:b w:val="0"/>
                <w:i w:val="0"/>
                <w:strike w:val="0"/>
                <w:color w:val="000000"/>
                <w:sz w:val="16"/>
                <w:u w:val="none"/>
                <w:vertAlign w:val="baseline"/>
              </w:rPr>
              <w:t>1</w:t>
            </w:r>
            <w:bookmarkStart w:id="371" w:name="XBRL_CE_33c20c16ea374bd29095111fc689ff6e"/>
            <w:bookmarkEnd w:id="370"/>
            <w:bookmarkEnd w:id="371"/>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Patiesās vērtības rezerve</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29</w:t>
            </w: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72" w:name="XBRL_CS_b0fdd605d97e443298d264421711e90b"/>
            <w:bookmarkEnd w:id="372"/>
            <w:bookmarkStart w:id="373" w:name="b0fdd605d97e443298d264421711e90b"/>
            <w:r>
              <w:rPr>
                <w:rFonts w:ascii="Arial Narrow" w:eastAsia="Arial Narrow" w:hAnsi="Arial Narrow" w:cs="Arial Narrow"/>
                <w:b w:val="0"/>
                <w:i w:val="0"/>
                <w:strike w:val="0"/>
                <w:color w:val="000000"/>
                <w:sz w:val="16"/>
                <w:u w:val="none"/>
                <w:vertAlign w:val="baseline"/>
              </w:rPr>
              <w:t>-</w:t>
            </w:r>
            <w:bookmarkStart w:id="374" w:name="XBRL_CE_b0fdd605d97e443298d264421711e90b"/>
            <w:bookmarkEnd w:id="373"/>
            <w:bookmarkEnd w:id="374"/>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75" w:name="XBRL_CS_b79a9afcf94d4ca68bbad6297202d8c5"/>
            <w:bookmarkEnd w:id="375"/>
            <w:bookmarkStart w:id="376" w:name="b79a9afcf94d4ca68bbad6297202d8c5"/>
            <w:r>
              <w:rPr>
                <w:rFonts w:ascii="Arial Narrow" w:eastAsia="Arial Narrow" w:hAnsi="Arial Narrow" w:cs="Arial Narrow"/>
                <w:b w:val="0"/>
                <w:i w:val="0"/>
                <w:strike w:val="0"/>
                <w:color w:val="000000"/>
                <w:sz w:val="16"/>
                <w:u w:val="none"/>
                <w:vertAlign w:val="baseline"/>
              </w:rPr>
              <w:t>(23,511)</w:t>
            </w:r>
            <w:bookmarkStart w:id="377" w:name="XBRL_CE_b79a9afcf94d4ca68bbad6297202d8c5"/>
            <w:bookmarkEnd w:id="376"/>
            <w:bookmarkEnd w:id="377"/>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Pārējās rezerves</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39</w:t>
            </w: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78" w:name="XBRL_CS_84d9affc1147436aa13a60d772cad67b"/>
            <w:bookmarkEnd w:id="378"/>
            <w:bookmarkStart w:id="379" w:name="84d9affc1147436aa13a60d772cad67b"/>
            <w:r>
              <w:rPr>
                <w:rFonts w:ascii="Arial Narrow" w:eastAsia="Arial Narrow" w:hAnsi="Arial Narrow" w:cs="Arial Narrow"/>
                <w:b w:val="0"/>
                <w:i w:val="0"/>
                <w:strike w:val="0"/>
                <w:color w:val="000000"/>
                <w:sz w:val="16"/>
                <w:u w:val="none"/>
                <w:vertAlign w:val="baseline"/>
              </w:rPr>
              <w:t>(2,197,084)</w:t>
            </w:r>
            <w:bookmarkStart w:id="380" w:name="XBRL_CE_84d9affc1147436aa13a60d772cad67b"/>
            <w:bookmarkEnd w:id="379"/>
            <w:bookmarkEnd w:id="380"/>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81" w:name="XBRL_CS_cdf86c88fa2e4b1786471c19d6b8b17e"/>
            <w:bookmarkEnd w:id="381"/>
            <w:bookmarkStart w:id="382" w:name="cdf86c88fa2e4b1786471c19d6b8b17e"/>
            <w:r>
              <w:rPr>
                <w:rFonts w:ascii="Arial Narrow" w:eastAsia="Arial Narrow" w:hAnsi="Arial Narrow" w:cs="Arial Narrow"/>
                <w:b w:val="0"/>
                <w:i w:val="0"/>
                <w:strike w:val="0"/>
                <w:color w:val="000000"/>
                <w:sz w:val="16"/>
                <w:u w:val="none"/>
                <w:vertAlign w:val="baseline"/>
              </w:rPr>
              <w:t>(4,085,406)</w:t>
            </w:r>
            <w:bookmarkStart w:id="383" w:name="XBRL_CE_cdf86c88fa2e4b1786471c19d6b8b17e"/>
            <w:bookmarkEnd w:id="382"/>
            <w:bookmarkEnd w:id="383"/>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Nesadalītā peļņa</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84" w:name="XBRL_CS_0bfb23a5d3ea4fe3912ceed5d8c207cd"/>
            <w:bookmarkEnd w:id="384"/>
            <w:bookmarkStart w:id="385" w:name="0bfb23a5d3ea4fe3912ceed5d8c207cd"/>
            <w:r>
              <w:rPr>
                <w:rFonts w:ascii="Arial Narrow" w:eastAsia="Arial Narrow" w:hAnsi="Arial Narrow" w:cs="Arial Narrow"/>
                <w:b w:val="0"/>
                <w:i w:val="0"/>
                <w:strike w:val="0"/>
                <w:color w:val="000000"/>
                <w:sz w:val="16"/>
                <w:u w:val="none"/>
                <w:vertAlign w:val="baseline"/>
              </w:rPr>
              <w:t>15,518,120</w:t>
            </w:r>
            <w:bookmarkStart w:id="386" w:name="XBRL_CE_0bfb23a5d3ea4fe3912ceed5d8c207cd"/>
            <w:bookmarkEnd w:id="385"/>
            <w:bookmarkEnd w:id="386"/>
          </w:p>
        </w:tc>
        <w:tc>
          <w:tcPr>
            <w:tcW w:w="1650" w:type="dxa"/>
            <w:gridSpan w:val="2"/>
            <w:tcBorders>
              <w:top w:val="nil"/>
              <w:left w:val="nil"/>
              <w:bottom w:val="nil"/>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87" w:name="XBRL_CS_b7cfe2daf4794b939b2e63370f2193e1"/>
            <w:bookmarkEnd w:id="387"/>
            <w:bookmarkStart w:id="388" w:name="b7cfe2daf4794b939b2e63370f2193e1"/>
            <w:r>
              <w:rPr>
                <w:rFonts w:ascii="Arial Narrow" w:eastAsia="Arial Narrow" w:hAnsi="Arial Narrow" w:cs="Arial Narrow"/>
                <w:b w:val="0"/>
                <w:i w:val="0"/>
                <w:strike w:val="0"/>
                <w:color w:val="000000"/>
                <w:sz w:val="16"/>
                <w:u w:val="none"/>
                <w:vertAlign w:val="baseline"/>
              </w:rPr>
              <w:t>13,095,232</w:t>
            </w:r>
            <w:bookmarkStart w:id="389" w:name="XBRL_CE_b7cfe2daf4794b939b2e63370f2193e1"/>
            <w:bookmarkEnd w:id="388"/>
            <w:bookmarkEnd w:id="389"/>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iepriekšējo gadu uzkrātā peļņa</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90" w:name="XBRL_CS_8b0fd17928bb42f987f8e4271eefb48a"/>
            <w:bookmarkEnd w:id="390"/>
            <w:bookmarkStart w:id="391" w:name="8b0fd17928bb42f987f8e4271eefb48a"/>
            <w:r>
              <w:rPr>
                <w:rFonts w:ascii="Arial Narrow" w:eastAsia="Arial Narrow" w:hAnsi="Arial Narrow" w:cs="Arial Narrow"/>
                <w:b w:val="0"/>
                <w:i w:val="0"/>
                <w:strike w:val="0"/>
                <w:color w:val="000000"/>
                <w:sz w:val="16"/>
                <w:u w:val="none"/>
                <w:vertAlign w:val="baseline"/>
              </w:rPr>
              <w:t>10,072,326</w:t>
            </w:r>
            <w:bookmarkStart w:id="392" w:name="XBRL_CE_8b0fd17928bb42f987f8e4271eefb48a"/>
            <w:bookmarkEnd w:id="391"/>
            <w:bookmarkEnd w:id="392"/>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93" w:name="XBRL_CS_e70a412d17834441828932fb4d24a670"/>
            <w:bookmarkEnd w:id="393"/>
            <w:bookmarkStart w:id="394" w:name="e70a412d17834441828932fb4d24a670"/>
            <w:r>
              <w:rPr>
                <w:rFonts w:ascii="Arial Narrow" w:eastAsia="Arial Narrow" w:hAnsi="Arial Narrow" w:cs="Arial Narrow"/>
                <w:b w:val="0"/>
                <w:i w:val="0"/>
                <w:strike w:val="0"/>
                <w:color w:val="000000"/>
                <w:sz w:val="16"/>
                <w:u w:val="none"/>
                <w:vertAlign w:val="baseline"/>
              </w:rPr>
              <w:t>7,640,671</w:t>
            </w:r>
            <w:bookmarkStart w:id="395" w:name="XBRL_CE_e70a412d17834441828932fb4d24a670"/>
            <w:bookmarkEnd w:id="394"/>
            <w:bookmarkEnd w:id="395"/>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pārskata perioda peļņa</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96" w:name="XBRL_CS_1fbf6f626dc44732a3dd5e91b4c8c295"/>
            <w:bookmarkEnd w:id="396"/>
            <w:bookmarkStart w:id="397" w:name="1fbf6f626dc44732a3dd5e91b4c8c295"/>
            <w:r>
              <w:rPr>
                <w:rFonts w:ascii="Arial Narrow" w:eastAsia="Arial Narrow" w:hAnsi="Arial Narrow" w:cs="Arial Narrow"/>
                <w:b w:val="0"/>
                <w:i w:val="0"/>
                <w:strike w:val="0"/>
                <w:color w:val="000000"/>
                <w:sz w:val="16"/>
                <w:u w:val="none"/>
                <w:vertAlign w:val="baseline"/>
              </w:rPr>
              <w:t>5,445,794</w:t>
            </w:r>
            <w:bookmarkStart w:id="398" w:name="XBRL_CE_1fbf6f626dc44732a3dd5e91b4c8c295"/>
            <w:bookmarkEnd w:id="397"/>
            <w:bookmarkEnd w:id="398"/>
          </w:p>
        </w:tc>
        <w:tc>
          <w:tcPr>
            <w:tcW w:w="1650" w:type="dxa"/>
            <w:gridSpan w:val="2"/>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399" w:name="XBRL_CS_9d4cbc80660d41749fa0ff227a9eae6b"/>
            <w:bookmarkEnd w:id="399"/>
            <w:bookmarkStart w:id="400" w:name="9d4cbc80660d41749fa0ff227a9eae6b"/>
            <w:r>
              <w:rPr>
                <w:rFonts w:ascii="Arial Narrow" w:eastAsia="Arial Narrow" w:hAnsi="Arial Narrow" w:cs="Arial Narrow"/>
                <w:b w:val="0"/>
                <w:i w:val="0"/>
                <w:strike w:val="0"/>
                <w:color w:val="000000"/>
                <w:sz w:val="16"/>
                <w:u w:val="none"/>
                <w:vertAlign w:val="baseline"/>
              </w:rPr>
              <w:t>5,454,561</w:t>
            </w:r>
            <w:bookmarkStart w:id="401" w:name="XBRL_CE_9d4cbc80660d41749fa0ff227a9eae6b"/>
            <w:bookmarkEnd w:id="400"/>
            <w:bookmarkEnd w:id="401"/>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pašu kapitāls, kas attiecināms uz Mātes sabiedrības akciju turētājiem</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gridSpan w:val="2"/>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402" w:name="XBRL_CS_3e8df98ef8d94b258e0c431e5bd72029"/>
            <w:bookmarkEnd w:id="402"/>
            <w:bookmarkStart w:id="403" w:name="3e8df98ef8d94b258e0c431e5bd72029"/>
            <w:r>
              <w:rPr>
                <w:rFonts w:ascii="Arial Narrow" w:eastAsia="Arial Narrow" w:hAnsi="Arial Narrow" w:cs="Arial Narrow"/>
                <w:b/>
                <w:i w:val="0"/>
                <w:strike w:val="0"/>
                <w:color w:val="000000"/>
                <w:sz w:val="16"/>
                <w:u w:val="none"/>
                <w:vertAlign w:val="baseline"/>
              </w:rPr>
              <w:t>13,746,037</w:t>
            </w:r>
            <w:bookmarkStart w:id="404" w:name="XBRL_CE_3e8df98ef8d94b258e0c431e5bd72029"/>
            <w:bookmarkEnd w:id="403"/>
            <w:bookmarkEnd w:id="404"/>
          </w:p>
        </w:tc>
        <w:tc>
          <w:tcPr>
            <w:tcW w:w="1650" w:type="dxa"/>
            <w:gridSpan w:val="2"/>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405" w:name="XBRL_CS_eb893175f995452caef3ffc3ab8373de"/>
            <w:bookmarkEnd w:id="405"/>
            <w:bookmarkStart w:id="406" w:name="eb893175f995452caef3ffc3ab8373de"/>
            <w:r>
              <w:rPr>
                <w:rFonts w:ascii="Arial Narrow" w:eastAsia="Arial Narrow" w:hAnsi="Arial Narrow" w:cs="Arial Narrow"/>
                <w:b/>
                <w:i w:val="0"/>
                <w:strike w:val="0"/>
                <w:color w:val="000000"/>
                <w:sz w:val="16"/>
                <w:u w:val="none"/>
                <w:vertAlign w:val="baseline"/>
              </w:rPr>
              <w:t>13,986,316</w:t>
            </w:r>
            <w:bookmarkStart w:id="407" w:name="XBRL_CE_eb893175f995452caef3ffc3ab8373de"/>
            <w:bookmarkEnd w:id="406"/>
            <w:bookmarkEnd w:id="407"/>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Nekontrolējošo līdzdalību</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gridSpan w:val="2"/>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08" w:name="XBRL_CS_d8b765400a3841e69249570033988bfa"/>
            <w:bookmarkEnd w:id="408"/>
            <w:bookmarkStart w:id="409" w:name="d8b765400a3841e69249570033988bfa"/>
            <w:r>
              <w:rPr>
                <w:rFonts w:ascii="Arial Narrow" w:eastAsia="Arial Narrow" w:hAnsi="Arial Narrow" w:cs="Arial Narrow"/>
                <w:b w:val="0"/>
                <w:i w:val="0"/>
                <w:strike w:val="0"/>
                <w:color w:val="000000"/>
                <w:sz w:val="16"/>
                <w:u w:val="none"/>
                <w:vertAlign w:val="baseline"/>
              </w:rPr>
              <w:t>321,408</w:t>
            </w:r>
            <w:bookmarkStart w:id="410" w:name="XBRL_CE_d8b765400a3841e69249570033988bfa"/>
            <w:bookmarkEnd w:id="409"/>
            <w:bookmarkEnd w:id="410"/>
          </w:p>
        </w:tc>
        <w:tc>
          <w:tcPr>
            <w:tcW w:w="1650" w:type="dxa"/>
            <w:gridSpan w:val="2"/>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11" w:name="XBRL_CS_0b19184b7bb54ea685fcbef0b629872e"/>
            <w:bookmarkEnd w:id="411"/>
            <w:bookmarkStart w:id="412" w:name="0b19184b7bb54ea685fcbef0b629872e"/>
            <w:r>
              <w:rPr>
                <w:rFonts w:ascii="Arial Narrow" w:eastAsia="Arial Narrow" w:hAnsi="Arial Narrow" w:cs="Arial Narrow"/>
                <w:b w:val="0"/>
                <w:i w:val="0"/>
                <w:strike w:val="0"/>
                <w:color w:val="000000"/>
                <w:sz w:val="16"/>
                <w:u w:val="none"/>
                <w:vertAlign w:val="baseline"/>
              </w:rPr>
              <w:t>271,481</w:t>
            </w:r>
            <w:bookmarkStart w:id="413" w:name="XBRL_CE_0b19184b7bb54ea685fcbef0b629872e"/>
            <w:bookmarkEnd w:id="412"/>
            <w:bookmarkEnd w:id="413"/>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PAŠU KAPITĀLS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gridSpan w:val="2"/>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414" w:name="XBRL_CS_a91e61013f834c318fe1b9540256ccb1"/>
            <w:bookmarkEnd w:id="414"/>
            <w:bookmarkStart w:id="415" w:name="a91e61013f834c318fe1b9540256ccb1"/>
            <w:r>
              <w:rPr>
                <w:rFonts w:ascii="Arial Narrow" w:eastAsia="Arial Narrow" w:hAnsi="Arial Narrow" w:cs="Arial Narrow"/>
                <w:b/>
                <w:i w:val="0"/>
                <w:strike w:val="0"/>
                <w:color w:val="000000"/>
                <w:sz w:val="16"/>
                <w:u w:val="none"/>
                <w:vertAlign w:val="baseline"/>
              </w:rPr>
              <w:t>14,067,445</w:t>
            </w:r>
            <w:bookmarkStart w:id="416" w:name="XBRL_CE_a91e61013f834c318fe1b9540256ccb1"/>
            <w:bookmarkEnd w:id="415"/>
            <w:bookmarkEnd w:id="416"/>
          </w:p>
        </w:tc>
        <w:tc>
          <w:tcPr>
            <w:tcW w:w="1650" w:type="dxa"/>
            <w:gridSpan w:val="2"/>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417" w:name="XBRL_CS_0ac32294d8164add83841e5189199d33"/>
            <w:bookmarkEnd w:id="417"/>
            <w:bookmarkStart w:id="418" w:name="0ac32294d8164add83841e5189199d33"/>
            <w:r>
              <w:rPr>
                <w:rFonts w:ascii="Arial Narrow" w:eastAsia="Arial Narrow" w:hAnsi="Arial Narrow" w:cs="Arial Narrow"/>
                <w:b/>
                <w:i w:val="0"/>
                <w:strike w:val="0"/>
                <w:color w:val="000000"/>
                <w:sz w:val="16"/>
                <w:u w:val="none"/>
                <w:vertAlign w:val="baseline"/>
              </w:rPr>
              <w:t>14,257,797</w:t>
            </w:r>
            <w:bookmarkStart w:id="419" w:name="XBRL_CE_0ac32294d8164add83841e5189199d33"/>
            <w:bookmarkEnd w:id="418"/>
            <w:bookmarkEnd w:id="419"/>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163"/>
        </w:trPr>
        <w:tc>
          <w:tcPr>
            <w:tcW w:w="54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KREDITORI</w:t>
            </w:r>
          </w:p>
        </w:tc>
        <w:tc>
          <w:tcPr>
            <w:tcW w:w="9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Ilgtermiņa kreditori</w:t>
            </w: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Ilgtermiņa aizņēmumi pret obligācijām </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w:t>
            </w:r>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20" w:name="XBRL_CS_c16c4b4dab0148b6a49252b7a7429b20"/>
            <w:bookmarkEnd w:id="420"/>
            <w:bookmarkStart w:id="421" w:name="c16c4b4dab0148b6a49252b7a7429b20"/>
            <w:r>
              <w:rPr>
                <w:rFonts w:ascii="Arial Narrow" w:eastAsia="Arial Narrow" w:hAnsi="Arial Narrow" w:cs="Arial Narrow"/>
                <w:b w:val="0"/>
                <w:i w:val="0"/>
                <w:strike w:val="0"/>
                <w:color w:val="000000"/>
                <w:sz w:val="16"/>
                <w:u w:val="none"/>
                <w:vertAlign w:val="baseline"/>
              </w:rPr>
              <w:t>29,205,008</w:t>
            </w:r>
            <w:bookmarkStart w:id="422" w:name="XBRL_CE_c16c4b4dab0148b6a49252b7a7429b20"/>
            <w:bookmarkEnd w:id="421"/>
            <w:bookmarkEnd w:id="422"/>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23" w:name="XBRL_CS_a69092ad1f2f4f0ea0bf70be97a56375"/>
            <w:bookmarkEnd w:id="423"/>
            <w:bookmarkStart w:id="424" w:name="a69092ad1f2f4f0ea0bf70be97a56375"/>
            <w:r>
              <w:rPr>
                <w:rFonts w:ascii="Arial Narrow" w:eastAsia="Arial Narrow" w:hAnsi="Arial Narrow" w:cs="Arial Narrow"/>
                <w:b w:val="0"/>
                <w:i w:val="0"/>
                <w:strike w:val="0"/>
                <w:color w:val="000000"/>
                <w:sz w:val="16"/>
                <w:u w:val="none"/>
                <w:vertAlign w:val="baseline"/>
              </w:rPr>
              <w:t>-</w:t>
            </w:r>
            <w:bookmarkStart w:id="425" w:name="XBRL_CE_a69092ad1f2f4f0ea0bf70be97a56375"/>
            <w:bookmarkEnd w:id="424"/>
            <w:bookmarkEnd w:id="425"/>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Savstarpējās kreditēšanas platformās piesaistīts finansējums</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w:t>
            </w:r>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26" w:name="XBRL_CS_7c1c4570f5214551b78681e16ed9508a"/>
            <w:bookmarkEnd w:id="426"/>
            <w:bookmarkStart w:id="427" w:name="7c1c4570f5214551b78681e16ed9508a"/>
            <w:r>
              <w:rPr>
                <w:rFonts w:ascii="Arial Narrow" w:eastAsia="Arial Narrow" w:hAnsi="Arial Narrow" w:cs="Arial Narrow"/>
                <w:b w:val="0"/>
                <w:i w:val="0"/>
                <w:strike w:val="0"/>
                <w:color w:val="000000"/>
                <w:sz w:val="16"/>
                <w:u w:val="none"/>
                <w:vertAlign w:val="baseline"/>
              </w:rPr>
              <w:t>4,770,954</w:t>
            </w:r>
            <w:bookmarkStart w:id="428" w:name="XBRL_CE_7c1c4570f5214551b78681e16ed9508a"/>
            <w:bookmarkEnd w:id="427"/>
            <w:bookmarkEnd w:id="428"/>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29" w:name="XBRL_CS_22d04caae41f4f13b2475cea8ee55212"/>
            <w:bookmarkEnd w:id="429"/>
            <w:bookmarkStart w:id="430" w:name="22d04caae41f4f13b2475cea8ee55212"/>
            <w:r>
              <w:rPr>
                <w:rFonts w:ascii="Arial Narrow" w:eastAsia="Arial Narrow" w:hAnsi="Arial Narrow" w:cs="Arial Narrow"/>
                <w:b w:val="0"/>
                <w:i w:val="0"/>
                <w:strike w:val="0"/>
                <w:color w:val="000000"/>
                <w:sz w:val="16"/>
                <w:u w:val="none"/>
                <w:vertAlign w:val="baseline"/>
              </w:rPr>
              <w:t>10,629,172</w:t>
            </w:r>
            <w:bookmarkStart w:id="431" w:name="XBRL_CE_22d04caae41f4f13b2475cea8ee55212"/>
            <w:bookmarkEnd w:id="430"/>
            <w:bookmarkEnd w:id="431"/>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Nomas saistības par lietošanas tiesību aktīviem</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18, 31</w:t>
            </w:r>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32" w:name="XBRL_CS_86041dd96ecd4f32a381a23e8d609f76"/>
            <w:bookmarkEnd w:id="432"/>
            <w:bookmarkStart w:id="433" w:name="86041dd96ecd4f32a381a23e8d609f76"/>
            <w:r>
              <w:rPr>
                <w:rFonts w:ascii="Arial Narrow" w:eastAsia="Arial Narrow" w:hAnsi="Arial Narrow" w:cs="Arial Narrow"/>
                <w:b w:val="0"/>
                <w:i w:val="0"/>
                <w:strike w:val="0"/>
                <w:color w:val="000000"/>
                <w:sz w:val="16"/>
                <w:u w:val="none"/>
                <w:vertAlign w:val="baseline"/>
              </w:rPr>
              <w:t>590,475</w:t>
            </w:r>
            <w:bookmarkStart w:id="434" w:name="XBRL_CE_86041dd96ecd4f32a381a23e8d609f76"/>
            <w:bookmarkEnd w:id="433"/>
            <w:bookmarkEnd w:id="434"/>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35" w:name="XBRL_CS_76719bdb982b4b8cbdce4e8f9817e382"/>
            <w:bookmarkEnd w:id="435"/>
            <w:bookmarkStart w:id="436" w:name="76719bdb982b4b8cbdce4e8f9817e382"/>
            <w:r>
              <w:rPr>
                <w:rFonts w:ascii="Arial Narrow" w:eastAsia="Arial Narrow" w:hAnsi="Arial Narrow" w:cs="Arial Narrow"/>
                <w:b w:val="0"/>
                <w:i w:val="0"/>
                <w:strike w:val="0"/>
                <w:color w:val="000000"/>
                <w:sz w:val="16"/>
                <w:u w:val="none"/>
                <w:vertAlign w:val="baseline"/>
              </w:rPr>
              <w:t>986,860</w:t>
            </w:r>
            <w:bookmarkStart w:id="437" w:name="XBRL_CE_76719bdb982b4b8cbdce4e8f9817e382"/>
            <w:bookmarkEnd w:id="436"/>
            <w:bookmarkEnd w:id="437"/>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Aizņēmumi no saistītām sabiedrībām</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w:t>
            </w:r>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38" w:name="XBRL_CS_9f1545d8d85645acbe83b468b174d7ee"/>
            <w:bookmarkEnd w:id="438"/>
            <w:bookmarkStart w:id="439" w:name="9f1545d8d85645acbe83b468b174d7ee"/>
            <w:r>
              <w:rPr>
                <w:rFonts w:ascii="Arial Narrow" w:eastAsia="Arial Narrow" w:hAnsi="Arial Narrow" w:cs="Arial Narrow"/>
                <w:b w:val="0"/>
                <w:i w:val="0"/>
                <w:strike w:val="0"/>
                <w:color w:val="000000"/>
                <w:sz w:val="16"/>
                <w:u w:val="none"/>
                <w:vertAlign w:val="baseline"/>
              </w:rPr>
              <w:t>1,705,000</w:t>
            </w:r>
            <w:bookmarkStart w:id="440" w:name="XBRL_CE_9f1545d8d85645acbe83b468b174d7ee"/>
            <w:bookmarkEnd w:id="439"/>
            <w:bookmarkEnd w:id="440"/>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41" w:name="XBRL_CS_dc2a72648e2443b090b2a29026b00885"/>
            <w:bookmarkEnd w:id="441"/>
            <w:bookmarkStart w:id="442" w:name="dc2a72648e2443b090b2a29026b00885"/>
            <w:r>
              <w:rPr>
                <w:rFonts w:ascii="Arial Narrow" w:eastAsia="Arial Narrow" w:hAnsi="Arial Narrow" w:cs="Arial Narrow"/>
                <w:b w:val="0"/>
                <w:i w:val="0"/>
                <w:strike w:val="0"/>
                <w:color w:val="000000"/>
                <w:sz w:val="16"/>
                <w:u w:val="none"/>
                <w:vertAlign w:val="baseline"/>
              </w:rPr>
              <w:t>-</w:t>
            </w:r>
            <w:bookmarkStart w:id="443" w:name="XBRL_CE_dc2a72648e2443b090b2a29026b00885"/>
            <w:bookmarkEnd w:id="442"/>
            <w:bookmarkEnd w:id="443"/>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Īstermiņa saistības kopā</w:t>
            </w: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50" w:type="dxa"/>
            <w:tcBorders>
              <w:top w:val="single" w:sz="4" w:space="0" w:color="000000"/>
              <w:left w:val="nil"/>
              <w:bottom w:val="nil"/>
              <w:right w:val="nil"/>
              <w:tl2br w:val="nil"/>
              <w:tr2bl w:val="nil"/>
            </w:tcBorders>
            <w:shd w:val="clear" w:color="FFFFFF" w:fill="DEEBF7"/>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00" w:type="dxa"/>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444" w:name="XBRL_CS_1a00e0f34e234bc18a164565fb9c23c0"/>
            <w:bookmarkEnd w:id="444"/>
            <w:bookmarkStart w:id="445" w:name="1a00e0f34e234bc18a164565fb9c23c0"/>
            <w:r>
              <w:rPr>
                <w:rFonts w:ascii="Arial Narrow" w:eastAsia="Arial Narrow" w:hAnsi="Arial Narrow" w:cs="Arial Narrow"/>
                <w:b/>
                <w:i w:val="0"/>
                <w:strike w:val="0"/>
                <w:color w:val="000000"/>
                <w:sz w:val="16"/>
                <w:u w:val="none"/>
                <w:vertAlign w:val="baseline"/>
              </w:rPr>
              <w:t>36,271,437</w:t>
            </w:r>
            <w:bookmarkStart w:id="446" w:name="XBRL_CE_1a00e0f34e234bc18a164565fb9c23c0"/>
            <w:bookmarkEnd w:id="445"/>
            <w:bookmarkEnd w:id="446"/>
          </w:p>
        </w:tc>
        <w:tc>
          <w:tcPr>
            <w:tcW w:w="150" w:type="dxa"/>
            <w:tcBorders>
              <w:top w:val="single" w:sz="4" w:space="0" w:color="000000"/>
              <w:left w:val="nil"/>
              <w:bottom w:val="nil"/>
              <w:right w:val="nil"/>
              <w:tl2br w:val="nil"/>
              <w:tr2bl w:val="nil"/>
            </w:tcBorders>
            <w:shd w:val="clear" w:color="FFFFFF" w:fill="DEEBF7"/>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00" w:type="dxa"/>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447" w:name="XBRL_CS_9e5692c58a494981ba4e665b7179d195"/>
            <w:bookmarkEnd w:id="447"/>
            <w:bookmarkStart w:id="448" w:name="9e5692c58a494981ba4e665b7179d195"/>
            <w:r>
              <w:rPr>
                <w:rFonts w:ascii="Arial Narrow" w:eastAsia="Arial Narrow" w:hAnsi="Arial Narrow" w:cs="Arial Narrow"/>
                <w:b/>
                <w:i w:val="0"/>
                <w:strike w:val="0"/>
                <w:color w:val="000000"/>
                <w:sz w:val="16"/>
                <w:u w:val="none"/>
                <w:vertAlign w:val="baseline"/>
              </w:rPr>
              <w:t>11,616,032</w:t>
            </w:r>
            <w:bookmarkStart w:id="449" w:name="XBRL_CE_9e5692c58a494981ba4e665b7179d195"/>
            <w:bookmarkEnd w:id="448"/>
            <w:bookmarkEnd w:id="449"/>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163"/>
        </w:trPr>
        <w:tc>
          <w:tcPr>
            <w:tcW w:w="54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5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finanšu garantijām</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39</w:t>
            </w:r>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50" w:name="XBRL_CS_98078550778e460d9579fea03529bfc6"/>
            <w:bookmarkEnd w:id="450"/>
            <w:bookmarkStart w:id="451" w:name="98078550778e460d9579fea03529bfc6"/>
            <w:r>
              <w:rPr>
                <w:rFonts w:ascii="Arial Narrow" w:eastAsia="Arial Narrow" w:hAnsi="Arial Narrow" w:cs="Arial Narrow"/>
                <w:b w:val="0"/>
                <w:i w:val="0"/>
                <w:strike w:val="0"/>
                <w:color w:val="000000"/>
                <w:sz w:val="16"/>
                <w:u w:val="none"/>
                <w:vertAlign w:val="baseline"/>
              </w:rPr>
              <w:t>2,008,420</w:t>
            </w:r>
            <w:bookmarkStart w:id="452" w:name="XBRL_CE_98078550778e460d9579fea03529bfc6"/>
            <w:bookmarkEnd w:id="451"/>
            <w:bookmarkEnd w:id="452"/>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53" w:name="XBRL_CS_41f7ad70ae384d76b17e3202a4df1064"/>
            <w:bookmarkEnd w:id="453"/>
            <w:bookmarkStart w:id="454" w:name="41f7ad70ae384d76b17e3202a4df1064"/>
            <w:r>
              <w:rPr>
                <w:rFonts w:ascii="Arial Narrow" w:eastAsia="Arial Narrow" w:hAnsi="Arial Narrow" w:cs="Arial Narrow"/>
                <w:b w:val="0"/>
                <w:i w:val="0"/>
                <w:strike w:val="0"/>
                <w:color w:val="000000"/>
                <w:sz w:val="16"/>
                <w:u w:val="none"/>
                <w:vertAlign w:val="baseline"/>
              </w:rPr>
              <w:t>1,986,481</w:t>
            </w:r>
            <w:bookmarkStart w:id="455" w:name="XBRL_CE_41f7ad70ae384d76b17e3202a4df1064"/>
            <w:bookmarkEnd w:id="454"/>
            <w:bookmarkEnd w:id="455"/>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Pārējie uzkrājumi</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30</w:t>
            </w:r>
          </w:p>
        </w:tc>
        <w:tc>
          <w:tcPr>
            <w:tcW w:w="1650" w:type="dxa"/>
            <w:gridSpan w:val="2"/>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56" w:name="XBRL_CS_6cac5ac9e28a4ea4a0aa967f68bd58b4"/>
            <w:bookmarkEnd w:id="456"/>
            <w:bookmarkStart w:id="457" w:name="6cac5ac9e28a4ea4a0aa967f68bd58b4"/>
            <w:r>
              <w:rPr>
                <w:rFonts w:ascii="Arial Narrow" w:eastAsia="Arial Narrow" w:hAnsi="Arial Narrow" w:cs="Arial Narrow"/>
                <w:b w:val="0"/>
                <w:i w:val="0"/>
                <w:strike w:val="0"/>
                <w:color w:val="000000"/>
                <w:sz w:val="16"/>
                <w:u w:val="none"/>
                <w:vertAlign w:val="baseline"/>
              </w:rPr>
              <w:t>140,053</w:t>
            </w:r>
            <w:bookmarkStart w:id="458" w:name="XBRL_CE_6cac5ac9e28a4ea4a0aa967f68bd58b4"/>
            <w:bookmarkEnd w:id="457"/>
            <w:bookmarkEnd w:id="458"/>
          </w:p>
        </w:tc>
        <w:tc>
          <w:tcPr>
            <w:tcW w:w="1650" w:type="dxa"/>
            <w:gridSpan w:val="2"/>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59" w:name="XBRL_CS_56f78af60afa4967963b412755e7aa8c"/>
            <w:bookmarkEnd w:id="459"/>
            <w:bookmarkStart w:id="460" w:name="56f78af60afa4967963b412755e7aa8c"/>
            <w:r>
              <w:rPr>
                <w:rFonts w:ascii="Arial Narrow" w:eastAsia="Arial Narrow" w:hAnsi="Arial Narrow" w:cs="Arial Narrow"/>
                <w:b w:val="0"/>
                <w:i w:val="0"/>
                <w:strike w:val="0"/>
                <w:color w:val="000000"/>
                <w:sz w:val="16"/>
                <w:u w:val="none"/>
                <w:vertAlign w:val="baseline"/>
              </w:rPr>
              <w:t>432,922</w:t>
            </w:r>
            <w:bookmarkStart w:id="461" w:name="XBRL_CE_56f78af60afa4967963b412755e7aa8c"/>
            <w:bookmarkEnd w:id="460"/>
            <w:bookmarkEnd w:id="461"/>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uzkrājumi saistībām un maksām un finanšu garantijām</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 w:type="dxa"/>
            <w:tcBorders>
              <w:top w:val="single" w:sz="4" w:space="0" w:color="000000"/>
              <w:left w:val="nil"/>
              <w:bottom w:val="nil"/>
              <w:right w:val="nil"/>
              <w:tl2br w:val="nil"/>
              <w:tr2bl w:val="nil"/>
            </w:tcBorders>
            <w:shd w:val="clear" w:color="FFFFFF" w:fill="DEEBF7"/>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00" w:type="dxa"/>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462" w:name="XBRL_CS_d6c00e162d7c4e649cee483b6df3119f"/>
            <w:bookmarkEnd w:id="462"/>
            <w:bookmarkStart w:id="463" w:name="d6c00e162d7c4e649cee483b6df3119f"/>
            <w:r>
              <w:rPr>
                <w:rFonts w:ascii="Arial Narrow" w:eastAsia="Arial Narrow" w:hAnsi="Arial Narrow" w:cs="Arial Narrow"/>
                <w:b/>
                <w:i w:val="0"/>
                <w:strike w:val="0"/>
                <w:color w:val="000000"/>
                <w:sz w:val="16"/>
                <w:u w:val="none"/>
                <w:vertAlign w:val="baseline"/>
              </w:rPr>
              <w:t>2,148,473</w:t>
            </w:r>
            <w:bookmarkStart w:id="464" w:name="XBRL_CE_d6c00e162d7c4e649cee483b6df3119f"/>
            <w:bookmarkEnd w:id="463"/>
            <w:bookmarkEnd w:id="464"/>
          </w:p>
        </w:tc>
        <w:tc>
          <w:tcPr>
            <w:tcW w:w="150" w:type="dxa"/>
            <w:tcBorders>
              <w:top w:val="single" w:sz="4" w:space="0" w:color="000000"/>
              <w:left w:val="nil"/>
              <w:bottom w:val="nil"/>
              <w:right w:val="nil"/>
              <w:tl2br w:val="nil"/>
              <w:tr2bl w:val="nil"/>
            </w:tcBorders>
            <w:shd w:val="clear" w:color="FFFFFF" w:fill="DEEBF7"/>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00" w:type="dxa"/>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465" w:name="XBRL_CS_ca1a5f9e784e4044a6b6e70371232f68"/>
            <w:bookmarkEnd w:id="465"/>
            <w:bookmarkStart w:id="466" w:name="ca1a5f9e784e4044a6b6e70371232f68"/>
            <w:r>
              <w:rPr>
                <w:rFonts w:ascii="Arial Narrow" w:eastAsia="Arial Narrow" w:hAnsi="Arial Narrow" w:cs="Arial Narrow"/>
                <w:b/>
                <w:i w:val="0"/>
                <w:strike w:val="0"/>
                <w:color w:val="000000"/>
                <w:sz w:val="16"/>
                <w:u w:val="none"/>
                <w:vertAlign w:val="baseline"/>
              </w:rPr>
              <w:t>2,419,403</w:t>
            </w:r>
            <w:bookmarkStart w:id="467" w:name="XBRL_CE_ca1a5f9e784e4044a6b6e70371232f68"/>
            <w:bookmarkEnd w:id="466"/>
            <w:bookmarkEnd w:id="467"/>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163"/>
        </w:trPr>
        <w:tc>
          <w:tcPr>
            <w:tcW w:w="54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650" w:type="dxa"/>
            <w:gridSpan w:val="2"/>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650" w:type="dxa"/>
            <w:gridSpan w:val="2"/>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Īstermiņa kreditori</w:t>
            </w: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gridSpan w:val="2"/>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650" w:type="dxa"/>
            <w:gridSpan w:val="2"/>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Īstermiņa aizņēmumi pret obligācijām </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w:t>
            </w:r>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68" w:name="XBRL_CS_b313a22711904b16b3233793c3c93b96"/>
            <w:bookmarkEnd w:id="468"/>
            <w:bookmarkStart w:id="469" w:name="b313a22711904b16b3233793c3c93b96"/>
            <w:r>
              <w:rPr>
                <w:rFonts w:ascii="Arial Narrow" w:eastAsia="Arial Narrow" w:hAnsi="Arial Narrow" w:cs="Arial Narrow"/>
                <w:b w:val="0"/>
                <w:i w:val="0"/>
                <w:strike w:val="0"/>
                <w:color w:val="000000"/>
                <w:sz w:val="16"/>
                <w:u w:val="none"/>
                <w:vertAlign w:val="baseline"/>
              </w:rPr>
              <w:t>-</w:t>
            </w:r>
            <w:bookmarkStart w:id="470" w:name="XBRL_CE_b313a22711904b16b3233793c3c93b96"/>
            <w:bookmarkEnd w:id="469"/>
            <w:bookmarkEnd w:id="470"/>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71" w:name="XBRL_CS_34d310c34f3046a09604a2c9d124066e"/>
            <w:bookmarkEnd w:id="471"/>
            <w:bookmarkStart w:id="472" w:name="34d310c34f3046a09604a2c9d124066e"/>
            <w:r>
              <w:rPr>
                <w:rFonts w:ascii="Arial Narrow" w:eastAsia="Arial Narrow" w:hAnsi="Arial Narrow" w:cs="Arial Narrow"/>
                <w:b w:val="0"/>
                <w:i w:val="0"/>
                <w:strike w:val="0"/>
                <w:color w:val="000000"/>
                <w:sz w:val="16"/>
                <w:u w:val="none"/>
                <w:vertAlign w:val="baseline"/>
              </w:rPr>
              <w:t>24,480,115</w:t>
            </w:r>
            <w:bookmarkStart w:id="473" w:name="XBRL_CE_34d310c34f3046a09604a2c9d124066e"/>
            <w:bookmarkEnd w:id="472"/>
            <w:bookmarkEnd w:id="473"/>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Savstarpējās kreditēšanas platformās piesaistīts finansējums</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w:t>
            </w:r>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74" w:name="XBRL_CS_d1ccc41f68b6477e82ded2718142e1ce"/>
            <w:bookmarkEnd w:id="474"/>
            <w:bookmarkStart w:id="475" w:name="d1ccc41f68b6477e82ded2718142e1ce"/>
            <w:r>
              <w:rPr>
                <w:rFonts w:ascii="Arial Narrow" w:eastAsia="Arial Narrow" w:hAnsi="Arial Narrow" w:cs="Arial Narrow"/>
                <w:b w:val="0"/>
                <w:i w:val="0"/>
                <w:strike w:val="0"/>
                <w:color w:val="000000"/>
                <w:sz w:val="16"/>
                <w:u w:val="none"/>
                <w:vertAlign w:val="baseline"/>
              </w:rPr>
              <w:t>1,024,814</w:t>
            </w:r>
            <w:bookmarkStart w:id="476" w:name="XBRL_CE_d1ccc41f68b6477e82ded2718142e1ce"/>
            <w:bookmarkEnd w:id="475"/>
            <w:bookmarkEnd w:id="476"/>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77" w:name="XBRL_CS_00de3259e0cd4375bdce8b7bb067551e"/>
            <w:bookmarkEnd w:id="477"/>
            <w:bookmarkStart w:id="478" w:name="00de3259e0cd4375bdce8b7bb067551e"/>
            <w:r>
              <w:rPr>
                <w:rFonts w:ascii="Arial Narrow" w:eastAsia="Arial Narrow" w:hAnsi="Arial Narrow" w:cs="Arial Narrow"/>
                <w:b w:val="0"/>
                <w:i w:val="0"/>
                <w:strike w:val="0"/>
                <w:color w:val="000000"/>
                <w:sz w:val="16"/>
                <w:u w:val="none"/>
                <w:vertAlign w:val="baseline"/>
              </w:rPr>
              <w:t>2,956,198</w:t>
            </w:r>
            <w:bookmarkStart w:id="479" w:name="XBRL_CE_00de3259e0cd4375bdce8b7bb067551e"/>
            <w:bookmarkEnd w:id="478"/>
            <w:bookmarkEnd w:id="479"/>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Aizņēmumi no bankām</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w:t>
            </w:r>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80" w:name="XBRL_CS_5cb439c8c96c4fd5aeb766cd41e32421"/>
            <w:bookmarkEnd w:id="480"/>
            <w:bookmarkStart w:id="481" w:name="5cb439c8c96c4fd5aeb766cd41e32421"/>
            <w:r>
              <w:rPr>
                <w:rFonts w:ascii="Arial Narrow" w:eastAsia="Arial Narrow" w:hAnsi="Arial Narrow" w:cs="Arial Narrow"/>
                <w:b w:val="0"/>
                <w:i w:val="0"/>
                <w:strike w:val="0"/>
                <w:color w:val="000000"/>
                <w:sz w:val="16"/>
                <w:u w:val="none"/>
                <w:vertAlign w:val="baseline"/>
              </w:rPr>
              <w:t>-</w:t>
            </w:r>
            <w:bookmarkStart w:id="482" w:name="XBRL_CE_5cb439c8c96c4fd5aeb766cd41e32421"/>
            <w:bookmarkEnd w:id="481"/>
            <w:bookmarkEnd w:id="482"/>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83" w:name="XBRL_CS_2a8cfdef2f8e495794a3ad41c5072b50"/>
            <w:bookmarkEnd w:id="483"/>
            <w:bookmarkStart w:id="484" w:name="2a8cfdef2f8e495794a3ad41c5072b50"/>
            <w:r>
              <w:rPr>
                <w:rFonts w:ascii="Arial Narrow" w:eastAsia="Arial Narrow" w:hAnsi="Arial Narrow" w:cs="Arial Narrow"/>
                <w:b w:val="0"/>
                <w:i w:val="0"/>
                <w:strike w:val="0"/>
                <w:color w:val="000000"/>
                <w:sz w:val="16"/>
                <w:u w:val="none"/>
                <w:vertAlign w:val="baseline"/>
              </w:rPr>
              <w:t>1,689,826</w:t>
            </w:r>
            <w:bookmarkStart w:id="485" w:name="XBRL_CE_2a8cfdef2f8e495794a3ad41c5072b50"/>
            <w:bookmarkEnd w:id="484"/>
            <w:bookmarkEnd w:id="485"/>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Nomas saistības par lietošanas tiesību aktīviem</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18, 31</w:t>
            </w:r>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86" w:name="XBRL_CS_a9d8187bd754436aa7238b06d3c519f2"/>
            <w:bookmarkEnd w:id="486"/>
            <w:bookmarkStart w:id="487" w:name="a9d8187bd754436aa7238b06d3c519f2"/>
            <w:r>
              <w:rPr>
                <w:rFonts w:ascii="Arial Narrow" w:eastAsia="Arial Narrow" w:hAnsi="Arial Narrow" w:cs="Arial Narrow"/>
                <w:b w:val="0"/>
                <w:i w:val="0"/>
                <w:strike w:val="0"/>
                <w:color w:val="000000"/>
                <w:sz w:val="16"/>
                <w:u w:val="none"/>
                <w:vertAlign w:val="baseline"/>
              </w:rPr>
              <w:t>128,051</w:t>
            </w:r>
            <w:bookmarkStart w:id="488" w:name="XBRL_CE_a9d8187bd754436aa7238b06d3c519f2"/>
            <w:bookmarkEnd w:id="487"/>
            <w:bookmarkEnd w:id="488"/>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89" w:name="XBRL_CS_a1b526551052466ba60e440e46127bcd"/>
            <w:bookmarkEnd w:id="489"/>
            <w:bookmarkStart w:id="490" w:name="a1b526551052466ba60e440e46127bcd"/>
            <w:r>
              <w:rPr>
                <w:rFonts w:ascii="Arial Narrow" w:eastAsia="Arial Narrow" w:hAnsi="Arial Narrow" w:cs="Arial Narrow"/>
                <w:b w:val="0"/>
                <w:i w:val="0"/>
                <w:strike w:val="0"/>
                <w:color w:val="000000"/>
                <w:sz w:val="16"/>
                <w:u w:val="none"/>
                <w:vertAlign w:val="baseline"/>
              </w:rPr>
              <w:t>151,844</w:t>
            </w:r>
            <w:bookmarkStart w:id="491" w:name="XBRL_CE_a1b526551052466ba60e440e46127bcd"/>
            <w:bookmarkEnd w:id="490"/>
            <w:bookmarkEnd w:id="491"/>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 pircējiem saņemtie avansi un citi maksājumi</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32</w:t>
            </w:r>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92" w:name="XBRL_CS_f72816df6e934063abfe5c1c755a4369"/>
            <w:bookmarkEnd w:id="492"/>
            <w:bookmarkStart w:id="493" w:name="f72816df6e934063abfe5c1c755a4369"/>
            <w:r>
              <w:rPr>
                <w:rFonts w:ascii="Arial Narrow" w:eastAsia="Arial Narrow" w:hAnsi="Arial Narrow" w:cs="Arial Narrow"/>
                <w:b w:val="0"/>
                <w:i w:val="0"/>
                <w:strike w:val="0"/>
                <w:color w:val="000000"/>
                <w:sz w:val="16"/>
                <w:u w:val="none"/>
                <w:vertAlign w:val="baseline"/>
              </w:rPr>
              <w:t>164,287</w:t>
            </w:r>
            <w:bookmarkStart w:id="494" w:name="XBRL_CE_f72816df6e934063abfe5c1c755a4369"/>
            <w:bookmarkEnd w:id="493"/>
            <w:bookmarkEnd w:id="494"/>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95" w:name="XBRL_CS_f26d91258ecc49f0b39ab05783b4f187"/>
            <w:bookmarkEnd w:id="495"/>
            <w:bookmarkStart w:id="496" w:name="f26d91258ecc49f0b39ab05783b4f187"/>
            <w:r>
              <w:rPr>
                <w:rFonts w:ascii="Arial Narrow" w:eastAsia="Arial Narrow" w:hAnsi="Arial Narrow" w:cs="Arial Narrow"/>
                <w:b w:val="0"/>
                <w:i w:val="0"/>
                <w:strike w:val="0"/>
                <w:color w:val="000000"/>
                <w:sz w:val="16"/>
                <w:u w:val="none"/>
                <w:vertAlign w:val="baseline"/>
              </w:rPr>
              <w:t>177,845</w:t>
            </w:r>
            <w:bookmarkStart w:id="497" w:name="XBRL_CE_f26d91258ecc49f0b39ab05783b4f187"/>
            <w:bookmarkEnd w:id="496"/>
            <w:bookmarkEnd w:id="497"/>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Parādi radniecīgajām sabiedrībām</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36</w:t>
            </w:r>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498" w:name="XBRL_CS_a0b5769c61c04a83a6de2077d4deeb3c"/>
            <w:bookmarkEnd w:id="498"/>
            <w:bookmarkStart w:id="499" w:name="a0b5769c61c04a83a6de2077d4deeb3c"/>
            <w:r>
              <w:rPr>
                <w:rFonts w:ascii="Arial Narrow" w:eastAsia="Arial Narrow" w:hAnsi="Arial Narrow" w:cs="Arial Narrow"/>
                <w:b w:val="0"/>
                <w:i w:val="0"/>
                <w:strike w:val="0"/>
                <w:color w:val="000000"/>
                <w:sz w:val="16"/>
                <w:u w:val="none"/>
                <w:vertAlign w:val="baseline"/>
              </w:rPr>
              <w:t>5,344</w:t>
            </w:r>
            <w:bookmarkStart w:id="500" w:name="XBRL_CE_a0b5769c61c04a83a6de2077d4deeb3c"/>
            <w:bookmarkEnd w:id="499"/>
            <w:bookmarkEnd w:id="500"/>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01" w:name="XBRL_CS_a3b53f8b051f4cdb9bf1030a0abe3214"/>
            <w:bookmarkEnd w:id="501"/>
            <w:bookmarkStart w:id="502" w:name="a3b53f8b051f4cdb9bf1030a0abe3214"/>
            <w:r>
              <w:rPr>
                <w:rFonts w:ascii="Arial Narrow" w:eastAsia="Arial Narrow" w:hAnsi="Arial Narrow" w:cs="Arial Narrow"/>
                <w:b w:val="0"/>
                <w:i w:val="0"/>
                <w:strike w:val="0"/>
                <w:color w:val="000000"/>
                <w:sz w:val="16"/>
                <w:u w:val="none"/>
                <w:vertAlign w:val="baseline"/>
              </w:rPr>
              <w:t>-</w:t>
            </w:r>
            <w:bookmarkStart w:id="503" w:name="XBRL_CE_a3b53f8b051f4cdb9bf1030a0abe3214"/>
            <w:bookmarkEnd w:id="502"/>
            <w:bookmarkEnd w:id="503"/>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Parādi piegādātājiem un darbuzņēmējiem </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04" w:name="XBRL_CS_f8b588aabe7b42cea944f2c96a4c1f49"/>
            <w:bookmarkEnd w:id="504"/>
            <w:bookmarkStart w:id="505" w:name="f8b588aabe7b42cea944f2c96a4c1f49"/>
            <w:r>
              <w:rPr>
                <w:rFonts w:ascii="Arial Narrow" w:eastAsia="Arial Narrow" w:hAnsi="Arial Narrow" w:cs="Arial Narrow"/>
                <w:b w:val="0"/>
                <w:i w:val="0"/>
                <w:strike w:val="0"/>
                <w:color w:val="000000"/>
                <w:sz w:val="16"/>
                <w:u w:val="none"/>
                <w:vertAlign w:val="baseline"/>
              </w:rPr>
              <w:t>162,974</w:t>
            </w:r>
            <w:bookmarkStart w:id="506" w:name="XBRL_CE_f8b588aabe7b42cea944f2c96a4c1f49"/>
            <w:bookmarkEnd w:id="505"/>
            <w:bookmarkEnd w:id="506"/>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07" w:name="XBRL_CS_03cc28bb148b40d1bb90b05a40ceccf4"/>
            <w:bookmarkEnd w:id="507"/>
            <w:bookmarkStart w:id="508" w:name="03cc28bb148b40d1bb90b05a40ceccf4"/>
            <w:r>
              <w:rPr>
                <w:rFonts w:ascii="Arial Narrow" w:eastAsia="Arial Narrow" w:hAnsi="Arial Narrow" w:cs="Arial Narrow"/>
                <w:b w:val="0"/>
                <w:i w:val="0"/>
                <w:strike w:val="0"/>
                <w:color w:val="000000"/>
                <w:sz w:val="16"/>
                <w:u w:val="none"/>
                <w:vertAlign w:val="baseline"/>
              </w:rPr>
              <w:t>128,887</w:t>
            </w:r>
            <w:bookmarkStart w:id="509" w:name="XBRL_CE_03cc28bb148b40d1bb90b05a40ceccf4"/>
            <w:bookmarkEnd w:id="508"/>
            <w:bookmarkEnd w:id="509"/>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Uzņēmumu ienākuma nodokļa saistības</w:t>
            </w: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10" w:name="XBRL_CS_1169abfa5603401ebc035123de5124ff"/>
            <w:bookmarkEnd w:id="510"/>
            <w:bookmarkStart w:id="511" w:name="1169abfa5603401ebc035123de5124ff"/>
            <w:r>
              <w:rPr>
                <w:rFonts w:ascii="Arial Narrow" w:eastAsia="Arial Narrow" w:hAnsi="Arial Narrow" w:cs="Arial Narrow"/>
                <w:b w:val="0"/>
                <w:i w:val="0"/>
                <w:strike w:val="0"/>
                <w:color w:val="000000"/>
                <w:sz w:val="16"/>
                <w:u w:val="none"/>
                <w:vertAlign w:val="baseline"/>
              </w:rPr>
              <w:t>6,493</w:t>
            </w:r>
            <w:bookmarkStart w:id="512" w:name="XBRL_CE_1169abfa5603401ebc035123de5124ff"/>
            <w:bookmarkEnd w:id="511"/>
            <w:bookmarkEnd w:id="512"/>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13" w:name="XBRL_CS_411650479fb94b9e96d3e6b33e94eefd"/>
            <w:bookmarkEnd w:id="513"/>
            <w:bookmarkStart w:id="514" w:name="411650479fb94b9e96d3e6b33e94eefd"/>
            <w:r>
              <w:rPr>
                <w:rFonts w:ascii="Arial Narrow" w:eastAsia="Arial Narrow" w:hAnsi="Arial Narrow" w:cs="Arial Narrow"/>
                <w:b w:val="0"/>
                <w:i w:val="0"/>
                <w:strike w:val="0"/>
                <w:color w:val="000000"/>
                <w:sz w:val="16"/>
                <w:u w:val="none"/>
                <w:vertAlign w:val="baseline"/>
              </w:rPr>
              <w:t>3,163</w:t>
            </w:r>
            <w:bookmarkStart w:id="515" w:name="XBRL_CE_411650479fb94b9e96d3e6b33e94eefd"/>
            <w:bookmarkEnd w:id="514"/>
            <w:bookmarkEnd w:id="515"/>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Nodokļi un valsts sociālās apdrošināšanas obligātās iemaksas</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33</w:t>
            </w:r>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16" w:name="XBRL_CS_20fff79009dc48f9a8392a1b80fd98df"/>
            <w:bookmarkEnd w:id="516"/>
            <w:bookmarkStart w:id="517" w:name="20fff79009dc48f9a8392a1b80fd98df"/>
            <w:r>
              <w:rPr>
                <w:rFonts w:ascii="Arial Narrow" w:eastAsia="Arial Narrow" w:hAnsi="Arial Narrow" w:cs="Arial Narrow"/>
                <w:b w:val="0"/>
                <w:i w:val="0"/>
                <w:strike w:val="0"/>
                <w:color w:val="000000"/>
                <w:sz w:val="16"/>
                <w:u w:val="none"/>
                <w:vertAlign w:val="baseline"/>
              </w:rPr>
              <w:t>105,653</w:t>
            </w:r>
            <w:bookmarkStart w:id="518" w:name="XBRL_CE_20fff79009dc48f9a8392a1b80fd98df"/>
            <w:bookmarkEnd w:id="517"/>
            <w:bookmarkEnd w:id="518"/>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19" w:name="XBRL_CS_53a770b026ef497aa2ae042ef11360fb"/>
            <w:bookmarkEnd w:id="519"/>
            <w:bookmarkStart w:id="520" w:name="53a770b026ef497aa2ae042ef11360fb"/>
            <w:r>
              <w:rPr>
                <w:rFonts w:ascii="Arial Narrow" w:eastAsia="Arial Narrow" w:hAnsi="Arial Narrow" w:cs="Arial Narrow"/>
                <w:b w:val="0"/>
                <w:i w:val="0"/>
                <w:strike w:val="0"/>
                <w:color w:val="000000"/>
                <w:sz w:val="16"/>
                <w:u w:val="none"/>
                <w:vertAlign w:val="baseline"/>
              </w:rPr>
              <w:t>278,956</w:t>
            </w:r>
            <w:bookmarkStart w:id="521" w:name="XBRL_CE_53a770b026ef497aa2ae042ef11360fb"/>
            <w:bookmarkEnd w:id="520"/>
            <w:bookmarkEnd w:id="521"/>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Pārējie kreditori</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34</w:t>
            </w:r>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22" w:name="XBRL_CS_814a4d7264664ec3bc8a9427da22eb9f"/>
            <w:bookmarkEnd w:id="522"/>
            <w:bookmarkStart w:id="523" w:name="814a4d7264664ec3bc8a9427da22eb9f"/>
            <w:r>
              <w:rPr>
                <w:rFonts w:ascii="Arial Narrow" w:eastAsia="Arial Narrow" w:hAnsi="Arial Narrow" w:cs="Arial Narrow"/>
                <w:b w:val="0"/>
                <w:i w:val="0"/>
                <w:strike w:val="0"/>
                <w:color w:val="000000"/>
                <w:sz w:val="16"/>
                <w:u w:val="none"/>
                <w:vertAlign w:val="baseline"/>
              </w:rPr>
              <w:t>771,595</w:t>
            </w:r>
            <w:bookmarkStart w:id="524" w:name="XBRL_CE_814a4d7264664ec3bc8a9427da22eb9f"/>
            <w:bookmarkEnd w:id="523"/>
            <w:bookmarkEnd w:id="524"/>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25" w:name="XBRL_CS_66ecdf8f202a4d6aabfda833f58b3b3f"/>
            <w:bookmarkEnd w:id="525"/>
            <w:bookmarkStart w:id="526" w:name="66ecdf8f202a4d6aabfda833f58b3b3f"/>
            <w:r>
              <w:rPr>
                <w:rFonts w:ascii="Arial Narrow" w:eastAsia="Arial Narrow" w:hAnsi="Arial Narrow" w:cs="Arial Narrow"/>
                <w:b w:val="0"/>
                <w:i w:val="0"/>
                <w:strike w:val="0"/>
                <w:color w:val="000000"/>
                <w:sz w:val="16"/>
                <w:u w:val="none"/>
                <w:vertAlign w:val="baseline"/>
              </w:rPr>
              <w:t>392,777</w:t>
            </w:r>
            <w:bookmarkStart w:id="527" w:name="XBRL_CE_66ecdf8f202a4d6aabfda833f58b3b3f"/>
            <w:bookmarkEnd w:id="526"/>
            <w:bookmarkEnd w:id="527"/>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Uzkrātās saistības</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35</w:t>
            </w:r>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28" w:name="XBRL_CS_b117965f36f743de83e5704811f72598"/>
            <w:bookmarkEnd w:id="528"/>
            <w:bookmarkStart w:id="529" w:name="b117965f36f743de83e5704811f72598"/>
            <w:r>
              <w:rPr>
                <w:rFonts w:ascii="Arial Narrow" w:eastAsia="Arial Narrow" w:hAnsi="Arial Narrow" w:cs="Arial Narrow"/>
                <w:b w:val="0"/>
                <w:i w:val="0"/>
                <w:strike w:val="0"/>
                <w:color w:val="000000"/>
                <w:sz w:val="16"/>
                <w:u w:val="none"/>
                <w:vertAlign w:val="baseline"/>
              </w:rPr>
              <w:t>325,490</w:t>
            </w:r>
            <w:bookmarkStart w:id="530" w:name="XBRL_CE_b117965f36f743de83e5704811f72598"/>
            <w:bookmarkEnd w:id="529"/>
            <w:bookmarkEnd w:id="530"/>
          </w:p>
        </w:tc>
        <w:tc>
          <w:tcPr>
            <w:tcW w:w="165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31" w:name="XBRL_CS_bb08a9cf2b924603a969e1aad17b3348"/>
            <w:bookmarkEnd w:id="531"/>
            <w:bookmarkStart w:id="532" w:name="bb08a9cf2b924603a969e1aad17b3348"/>
            <w:r>
              <w:rPr>
                <w:rFonts w:ascii="Arial Narrow" w:eastAsia="Arial Narrow" w:hAnsi="Arial Narrow" w:cs="Arial Narrow"/>
                <w:b w:val="0"/>
                <w:i w:val="0"/>
                <w:strike w:val="0"/>
                <w:color w:val="000000"/>
                <w:sz w:val="16"/>
                <w:u w:val="none"/>
                <w:vertAlign w:val="baseline"/>
              </w:rPr>
              <w:t>419,389</w:t>
            </w:r>
            <w:bookmarkStart w:id="533" w:name="XBRL_CE_bb08a9cf2b924603a969e1aad17b3348"/>
            <w:bookmarkEnd w:id="532"/>
            <w:bookmarkEnd w:id="533"/>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Īstermiņa kreditori kopā</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50" w:type="dxa"/>
            <w:tcBorders>
              <w:top w:val="nil"/>
              <w:left w:val="nil"/>
              <w:bottom w:val="single" w:sz="4" w:space="0" w:color="000000"/>
              <w:right w:val="nil"/>
              <w:tl2br w:val="nil"/>
              <w:tr2bl w:val="nil"/>
            </w:tcBorders>
            <w:shd w:val="clear" w:color="FFFFFF" w:fill="DEEBF7"/>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534" w:name="XBRL_CS_4c6c998fc8494ff78afd48014b6ec8f6"/>
            <w:bookmarkEnd w:id="534"/>
            <w:bookmarkStart w:id="535" w:name="4c6c998fc8494ff78afd48014b6ec8f6"/>
            <w:r>
              <w:rPr>
                <w:rFonts w:ascii="Arial Narrow" w:eastAsia="Arial Narrow" w:hAnsi="Arial Narrow" w:cs="Arial Narrow"/>
                <w:b/>
                <w:i w:val="0"/>
                <w:strike w:val="0"/>
                <w:color w:val="000000"/>
                <w:sz w:val="16"/>
                <w:u w:val="none"/>
                <w:vertAlign w:val="baseline"/>
              </w:rPr>
              <w:t>2,694,701</w:t>
            </w:r>
            <w:bookmarkStart w:id="536" w:name="XBRL_CE_4c6c998fc8494ff78afd48014b6ec8f6"/>
            <w:bookmarkEnd w:id="535"/>
            <w:bookmarkEnd w:id="536"/>
          </w:p>
        </w:tc>
        <w:tc>
          <w:tcPr>
            <w:tcW w:w="150" w:type="dxa"/>
            <w:tcBorders>
              <w:top w:val="nil"/>
              <w:left w:val="nil"/>
              <w:bottom w:val="single" w:sz="4" w:space="0" w:color="000000"/>
              <w:right w:val="nil"/>
              <w:tl2br w:val="nil"/>
              <w:tr2bl w:val="nil"/>
            </w:tcBorders>
            <w:shd w:val="clear" w:color="FFFFFF" w:fill="DEEBF7"/>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537" w:name="XBRL_CS_26c81bfd333549038ff6f2e09b2759b6"/>
            <w:bookmarkEnd w:id="537"/>
            <w:bookmarkStart w:id="538" w:name="26c81bfd333549038ff6f2e09b2759b6"/>
            <w:r>
              <w:rPr>
                <w:rFonts w:ascii="Arial Narrow" w:eastAsia="Arial Narrow" w:hAnsi="Arial Narrow" w:cs="Arial Narrow"/>
                <w:b/>
                <w:i w:val="0"/>
                <w:strike w:val="0"/>
                <w:color w:val="000000"/>
                <w:sz w:val="16"/>
                <w:u w:val="none"/>
                <w:vertAlign w:val="baseline"/>
              </w:rPr>
              <w:t>30,679,000</w:t>
            </w:r>
            <w:bookmarkStart w:id="539" w:name="XBRL_CE_26c81bfd333549038ff6f2e09b2759b6"/>
            <w:bookmarkEnd w:id="538"/>
            <w:bookmarkEnd w:id="539"/>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nil"/>
              <w:left w:val="nil"/>
              <w:bottom w:val="single" w:sz="8"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KREDITORI</w:t>
            </w:r>
          </w:p>
        </w:tc>
        <w:tc>
          <w:tcPr>
            <w:tcW w:w="900" w:type="dxa"/>
            <w:tcBorders>
              <w:top w:val="nil"/>
              <w:left w:val="nil"/>
              <w:bottom w:val="single" w:sz="8"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gridSpan w:val="2"/>
            <w:tcBorders>
              <w:top w:val="single" w:sz="4" w:space="0" w:color="000000"/>
              <w:left w:val="nil"/>
              <w:bottom w:val="single" w:sz="8"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540" w:name="XBRL_CS_2c2a790f3a0c46c5b5da29cb7e8cdf04"/>
            <w:bookmarkEnd w:id="540"/>
            <w:bookmarkStart w:id="541" w:name="2c2a790f3a0c46c5b5da29cb7e8cdf04"/>
            <w:r>
              <w:rPr>
                <w:rFonts w:ascii="Arial Narrow" w:eastAsia="Arial Narrow" w:hAnsi="Arial Narrow" w:cs="Arial Narrow"/>
                <w:b/>
                <w:i w:val="0"/>
                <w:strike w:val="0"/>
                <w:color w:val="000000"/>
                <w:sz w:val="16"/>
                <w:u w:val="none"/>
                <w:vertAlign w:val="baseline"/>
              </w:rPr>
              <w:t>41,114,611</w:t>
            </w:r>
            <w:bookmarkStart w:id="542" w:name="XBRL_CE_2c2a790f3a0c46c5b5da29cb7e8cdf04"/>
            <w:bookmarkEnd w:id="541"/>
            <w:bookmarkEnd w:id="542"/>
          </w:p>
        </w:tc>
        <w:tc>
          <w:tcPr>
            <w:tcW w:w="1650" w:type="dxa"/>
            <w:gridSpan w:val="2"/>
            <w:tcBorders>
              <w:top w:val="single" w:sz="4" w:space="0" w:color="000000"/>
              <w:left w:val="nil"/>
              <w:bottom w:val="single" w:sz="8"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543" w:name="XBRL_CS_f5fbf1dbeb98427899309333acefed89"/>
            <w:bookmarkEnd w:id="543"/>
            <w:bookmarkStart w:id="544" w:name="f5fbf1dbeb98427899309333acefed89"/>
            <w:r>
              <w:rPr>
                <w:rFonts w:ascii="Arial Narrow" w:eastAsia="Arial Narrow" w:hAnsi="Arial Narrow" w:cs="Arial Narrow"/>
                <w:b/>
                <w:i w:val="0"/>
                <w:strike w:val="0"/>
                <w:color w:val="000000"/>
                <w:sz w:val="16"/>
                <w:u w:val="none"/>
                <w:vertAlign w:val="baseline"/>
              </w:rPr>
              <w:t>44,714,435</w:t>
            </w:r>
            <w:bookmarkStart w:id="545" w:name="XBRL_CE_f5fbf1dbeb98427899309333acefed89"/>
            <w:bookmarkEnd w:id="544"/>
            <w:bookmarkEnd w:id="545"/>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70"/>
        </w:trPr>
        <w:tc>
          <w:tcPr>
            <w:tcW w:w="5400" w:type="dxa"/>
            <w:tcBorders>
              <w:top w:val="single" w:sz="8"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PASĪVS</w:t>
            </w:r>
          </w:p>
        </w:tc>
        <w:tc>
          <w:tcPr>
            <w:tcW w:w="900" w:type="dxa"/>
            <w:tcBorders>
              <w:top w:val="single" w:sz="8"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gridSpan w:val="2"/>
            <w:tcBorders>
              <w:top w:val="single" w:sz="8" w:space="0" w:color="000000"/>
              <w:left w:val="nil"/>
              <w:bottom w:val="single" w:sz="8"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546" w:name="XBRL_CS_09778dc34a64403cae2244a1eb75f372"/>
            <w:bookmarkEnd w:id="546"/>
            <w:bookmarkStart w:id="547" w:name="09778dc34a64403cae2244a1eb75f372"/>
            <w:r>
              <w:rPr>
                <w:rFonts w:ascii="Arial Narrow" w:eastAsia="Arial Narrow" w:hAnsi="Arial Narrow" w:cs="Arial Narrow"/>
                <w:b/>
                <w:i w:val="0"/>
                <w:strike w:val="0"/>
                <w:color w:val="000000"/>
                <w:sz w:val="16"/>
                <w:u w:val="none"/>
                <w:vertAlign w:val="baseline"/>
              </w:rPr>
              <w:t>55,182,056</w:t>
            </w:r>
            <w:bookmarkStart w:id="548" w:name="XBRL_CE_09778dc34a64403cae2244a1eb75f372"/>
            <w:bookmarkEnd w:id="547"/>
            <w:bookmarkEnd w:id="548"/>
          </w:p>
        </w:tc>
        <w:tc>
          <w:tcPr>
            <w:tcW w:w="1650" w:type="dxa"/>
            <w:gridSpan w:val="2"/>
            <w:tcBorders>
              <w:top w:val="single" w:sz="8" w:space="0" w:color="000000"/>
              <w:left w:val="nil"/>
              <w:bottom w:val="single" w:sz="8"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549" w:name="XBRL_CS_e2ce6f4109c34ee3a76d5a49e10e9a8d"/>
            <w:bookmarkEnd w:id="549"/>
            <w:bookmarkStart w:id="550" w:name="e2ce6f4109c34ee3a76d5a49e10e9a8d"/>
            <w:r>
              <w:rPr>
                <w:rFonts w:ascii="Arial Narrow" w:eastAsia="Arial Narrow" w:hAnsi="Arial Narrow" w:cs="Arial Narrow"/>
                <w:b/>
                <w:i w:val="0"/>
                <w:strike w:val="0"/>
                <w:color w:val="000000"/>
                <w:sz w:val="16"/>
                <w:u w:val="none"/>
                <w:vertAlign w:val="baseline"/>
              </w:rPr>
              <w:t>58,972,232</w:t>
            </w:r>
            <w:bookmarkStart w:id="551" w:name="XBRL_CE_e2ce6f4109c34ee3a76d5a49e10e9a8d"/>
            <w:bookmarkEnd w:id="550"/>
            <w:bookmarkEnd w:id="551"/>
          </w:p>
        </w:tc>
      </w:tr>
    </w:tbl>
    <w:p>
      <w:pPr>
        <w:spacing w:before="0" w:beforeAutospacing="0" w:after="0" w:afterAutospacing="0" w:line="240" w:lineRule="auto"/>
        <w:rPr>
          <w:rFonts w:ascii="Arial Narrow" w:eastAsia="Arial Narrow" w:hAnsi="Arial Narrow" w:cs="Arial Narrow"/>
          <w:sz w:val="16"/>
        </w:rPr>
      </w:pPr>
    </w:p>
    <w:p w:rsidR="004721D0" w:rsidRPr="00CC307B" w:rsidP="004721D0" w14:paraId="5F26AAA6" w14:textId="4C5CA71F">
      <w:pPr>
        <w:spacing w:after="0"/>
        <w:rPr>
          <w:rFonts w:ascii="Arial Narrow" w:eastAsia="Arial Narrow" w:hAnsi="Arial Narrow" w:cs="Arial Narrow"/>
          <w:sz w:val="16"/>
          <w:szCs w:val="16"/>
        </w:rPr>
      </w:pPr>
      <w:bookmarkStart w:id="552" w:name="RG_MARKER_6720"/>
      <w:r w:rsidRPr="00CC307B">
        <w:rPr>
          <w:rFonts w:ascii="Arial Narrow" w:eastAsia="Arial Narrow" w:hAnsi="Arial Narrow" w:cs="Arial Narrow"/>
          <w:sz w:val="16"/>
          <w:szCs w:val="16"/>
        </w:rPr>
        <w:t>Pielikums ir šo konsolidēto finanšu pārskatu neatņemama sastāvdaļa.</w:t>
      </w:r>
      <w:bookmarkEnd w:id="552"/>
    </w:p>
    <w:p w:rsidR="004721D0" w:rsidRPr="00CC307B" w:rsidP="004721D0" w14:paraId="696D788C" w14:textId="54D676A4">
      <w:pPr>
        <w:spacing w:after="0"/>
        <w:rPr>
          <w:rFonts w:ascii="Arial Narrow" w:eastAsia="Arial Narrow" w:hAnsi="Arial Narrow" w:cs="Arial Narrow"/>
          <w:sz w:val="16"/>
          <w:szCs w:val="16"/>
        </w:rPr>
      </w:pPr>
    </w:p>
    <w:p w:rsidR="00EA3635" w:rsidRPr="00EA3635" w:rsidP="00EA3635" w14:paraId="09E6A19C" w14:textId="7DF83454">
      <w:pPr>
        <w:rPr>
          <w:rFonts w:ascii="Arial Narrow" w:eastAsia="Arial Narrow" w:hAnsi="Arial Narrow" w:cs="Arial Narrow"/>
          <w:sz w:val="16"/>
          <w:szCs w:val="16"/>
          <w:lang w:val="lv-LV"/>
        </w:rPr>
      </w:pPr>
      <w:r w:rsidRPr="00EA3635">
        <w:rPr>
          <w:rFonts w:ascii="Arial Narrow" w:eastAsia="Arial Narrow" w:hAnsi="Arial Narrow" w:cs="Arial Narrow"/>
          <w:sz w:val="16"/>
          <w:szCs w:val="16"/>
          <w:lang w:val="lv-LV"/>
        </w:rPr>
        <w:t xml:space="preserve">Koncerna vārdā 2022. gada </w:t>
      </w:r>
      <w:r>
        <w:rPr>
          <w:rFonts w:ascii="Arial Narrow" w:eastAsia="Arial Narrow" w:hAnsi="Arial Narrow" w:cs="Arial Narrow"/>
          <w:sz w:val="16"/>
          <w:szCs w:val="16"/>
          <w:lang w:val="lv-LV"/>
        </w:rPr>
        <w:t>30</w:t>
      </w:r>
      <w:r w:rsidRPr="00EA3635">
        <w:rPr>
          <w:rFonts w:ascii="Arial Narrow" w:eastAsia="Arial Narrow" w:hAnsi="Arial Narrow" w:cs="Arial Narrow"/>
          <w:sz w:val="16"/>
          <w:szCs w:val="16"/>
          <w:lang w:val="lv-LV"/>
        </w:rPr>
        <w:t>.</w:t>
      </w:r>
      <w:r w:rsidRPr="00EA3635">
        <w:rPr>
          <w:rFonts w:ascii="Arial Narrow" w:eastAsia="Arial Narrow" w:hAnsi="Arial Narrow" w:cs="Arial Narrow"/>
          <w:sz w:val="16"/>
          <w:szCs w:val="16"/>
          <w:lang w:val="lv-LV"/>
        </w:rPr>
        <w:t xml:space="preserve"> aprīlī konsolidētos finanšu pārskatus ir parakstījuši:</w:t>
      </w:r>
    </w:p>
    <w:p w:rsidR="00EA3635" w:rsidRPr="00EA3635" w:rsidP="00EA3635" w14:paraId="6FD29AA9" w14:textId="77777777">
      <w:pPr>
        <w:spacing w:after="0" w:line="360" w:lineRule="auto"/>
        <w:rPr>
          <w:rFonts w:ascii="Arial Narrow" w:eastAsia="Arial Narrow" w:hAnsi="Arial Narrow" w:cs="Arial Narrow"/>
          <w:sz w:val="16"/>
          <w:szCs w:val="16"/>
          <w:lang w:val="lv-LV"/>
        </w:rPr>
      </w:pPr>
      <w:r w:rsidRPr="00EA3635">
        <w:rPr>
          <w:rFonts w:ascii="Arial Narrow" w:eastAsia="Arial Narrow" w:hAnsi="Arial Narrow" w:cs="Arial Narrow"/>
          <w:sz w:val="16"/>
          <w:szCs w:val="16"/>
          <w:lang w:val="lv-LV"/>
        </w:rPr>
        <w:t>Krišjānis Znotiņš, Valdes priekšsēdētājs</w:t>
      </w:r>
    </w:p>
    <w:p w:rsidR="00EA3635" w:rsidRPr="00EA3635" w:rsidP="00EA3635" w14:paraId="7D84400C" w14:textId="77777777">
      <w:pPr>
        <w:spacing w:after="0" w:line="360" w:lineRule="auto"/>
        <w:rPr>
          <w:rFonts w:ascii="Arial Narrow" w:eastAsia="Arial Narrow" w:hAnsi="Arial Narrow" w:cs="Arial Narrow"/>
          <w:sz w:val="16"/>
          <w:szCs w:val="16"/>
          <w:lang w:val="lv-LV"/>
        </w:rPr>
      </w:pPr>
      <w:r w:rsidRPr="00EA3635">
        <w:rPr>
          <w:rFonts w:ascii="Arial Narrow" w:eastAsia="Arial Narrow" w:hAnsi="Arial Narrow" w:cs="Arial Narrow"/>
          <w:sz w:val="16"/>
          <w:szCs w:val="16"/>
          <w:lang w:val="lv-LV"/>
        </w:rPr>
        <w:t>Aivis Lonskis, Valdes loceklis</w:t>
      </w:r>
    </w:p>
    <w:p w:rsidR="00EA3635" w:rsidRPr="00EA3635" w:rsidP="00EA3635" w14:paraId="559A19E6" w14:textId="77777777">
      <w:pPr>
        <w:spacing w:after="0" w:line="360" w:lineRule="auto"/>
        <w:rPr>
          <w:rFonts w:ascii="Arial Narrow" w:eastAsia="Arial Narrow" w:hAnsi="Arial Narrow" w:cs="Arial Narrow"/>
          <w:sz w:val="16"/>
          <w:szCs w:val="16"/>
          <w:lang w:val="lv-LV"/>
        </w:rPr>
      </w:pPr>
      <w:r w:rsidRPr="00EA3635">
        <w:rPr>
          <w:rFonts w:ascii="Arial Narrow" w:eastAsia="Arial Narrow" w:hAnsi="Arial Narrow" w:cs="Arial Narrow"/>
          <w:sz w:val="16"/>
          <w:szCs w:val="16"/>
          <w:lang w:val="lv-LV"/>
        </w:rPr>
        <w:t xml:space="preserve">Laura Bunkša, Galvenā </w:t>
      </w:r>
      <w:r w:rsidRPr="00EA3635">
        <w:rPr>
          <w:rFonts w:ascii="Arial Narrow" w:eastAsia="Arial Narrow" w:hAnsi="Arial Narrow" w:cs="Arial Narrow"/>
          <w:sz w:val="16"/>
          <w:szCs w:val="16"/>
          <w:lang w:val="lv-LV"/>
        </w:rPr>
        <w:t>grāmatvede</w:t>
      </w:r>
    </w:p>
    <w:p w:rsidR="004721D0" w:rsidRPr="00EA3635" w:rsidP="004721D0" w14:paraId="53B73072" w14:textId="57B10111">
      <w:pPr>
        <w:spacing w:after="0"/>
        <w:rPr>
          <w:rFonts w:ascii="Arial Narrow" w:eastAsia="Arial Narrow" w:hAnsi="Arial Narrow" w:cs="Arial Narrow"/>
          <w:sz w:val="16"/>
          <w:szCs w:val="16"/>
          <w:lang w:val="lv-LV"/>
        </w:rPr>
      </w:pPr>
    </w:p>
    <w:p w:rsidR="00777F05" w:rsidRPr="00CC307B" w:rsidP="004721D0" w14:textId="445C550C">
      <w:pPr>
        <w:spacing w:after="0"/>
        <w:jc w:val="center"/>
        <w:rPr>
          <w:rFonts w:ascii="Arial Narrow" w:eastAsia="Arial Narrow" w:hAnsi="Arial Narrow" w:cs="Arial Narrow"/>
          <w:sz w:val="16"/>
          <w:szCs w:val="16"/>
        </w:rPr>
      </w:pPr>
      <w:r w:rsidRPr="00CC307B">
        <w:rPr>
          <w:rFonts w:ascii="Arial Narrow" w:eastAsia="Arial Narrow" w:hAnsi="Arial Narrow" w:cs="Arial Narrow"/>
          <w:sz w:val="16"/>
          <w:szCs w:val="16"/>
        </w:rPr>
        <w:t>ŠIS DOKUMENTS IR PARAKSTĪTS AR DROŠU ELEKTRONISKO PARAKSTU UN SATUR LAIKA ZĪMOGU</w:t>
      </w:r>
    </w:p>
    <w:tbl>
      <w:tblPr>
        <w:tblStyle w:val="CDMRange2"/>
        <w:tblW w:w="9630" w:type="dxa"/>
        <w:tblLayout w:type="fixed"/>
        <w:tblLook w:val="0600"/>
      </w:tblPr>
      <w:tblGrid>
        <w:gridCol w:w="2775"/>
        <w:gridCol w:w="795"/>
        <w:gridCol w:w="660"/>
        <w:gridCol w:w="840"/>
        <w:gridCol w:w="825"/>
        <w:gridCol w:w="900"/>
        <w:gridCol w:w="1035"/>
        <w:gridCol w:w="900"/>
        <w:gridCol w:w="900"/>
      </w:tblGrid>
      <w:tr>
        <w:tblPrEx>
          <w:tblW w:w="9630" w:type="dxa"/>
          <w:tblLayout w:type="fixed"/>
          <w:tblLook w:val="0600"/>
        </w:tblPrEx>
        <w:trPr>
          <w:cantSplit/>
          <w:trHeight w:hRule="exact" w:val="260"/>
        </w:trPr>
        <w:tc>
          <w:tcPr>
            <w:tcW w:w="9630" w:type="dxa"/>
            <w:gridSpan w:val="9"/>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keepNext/>
              <w:pageBreakBefore/>
              <w:bidi w:val="0"/>
              <w:spacing w:before="0" w:beforeAutospacing="0" w:after="0" w:afterAutospacing="0" w:line="240" w:lineRule="auto"/>
              <w:jc w:val="center"/>
              <w:rPr>
                <w:rFonts w:ascii="Arial Narrow" w:eastAsia="Arial Narrow" w:hAnsi="Arial Narrow" w:cs="Arial Narrow"/>
                <w:b/>
                <w:i w:val="0"/>
                <w:strike w:val="0"/>
                <w:color w:val="000000"/>
                <w:sz w:val="20"/>
                <w:u w:val="none"/>
                <w:vertAlign w:val="baseline"/>
              </w:rPr>
            </w:pPr>
            <w:r>
              <w:rPr>
                <w:rFonts w:ascii="Arial Narrow" w:eastAsia="Arial Narrow" w:hAnsi="Arial Narrow" w:cs="Arial Narrow"/>
                <w:b/>
                <w:i w:val="0"/>
                <w:strike w:val="0"/>
                <w:color w:val="000000"/>
                <w:sz w:val="20"/>
                <w:u w:val="none"/>
                <w:vertAlign w:val="baseline"/>
              </w:rPr>
              <w:t>Konsolidētais pašu kapitāla izmaiņu pārskats</w:t>
            </w:r>
          </w:p>
        </w:tc>
      </w:tr>
      <w:tr>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163"/>
        </w:trPr>
        <w:tc>
          <w:tcPr>
            <w:tcW w:w="277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4"/>
                <w:u w:val="none"/>
                <w:vertAlign w:val="baseline"/>
              </w:rPr>
            </w:pPr>
          </w:p>
        </w:tc>
        <w:tc>
          <w:tcPr>
            <w:tcW w:w="79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4"/>
                <w:u w:val="none"/>
                <w:vertAlign w:val="baseline"/>
              </w:rPr>
            </w:pPr>
          </w:p>
        </w:tc>
        <w:tc>
          <w:tcPr>
            <w:tcW w:w="66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4"/>
                <w:u w:val="none"/>
                <w:vertAlign w:val="baseline"/>
              </w:rPr>
            </w:pPr>
          </w:p>
        </w:tc>
        <w:tc>
          <w:tcPr>
            <w:tcW w:w="84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4"/>
                <w:u w:val="none"/>
                <w:vertAlign w:val="baseline"/>
              </w:rPr>
            </w:pPr>
          </w:p>
        </w:tc>
        <w:tc>
          <w:tcPr>
            <w:tcW w:w="82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4"/>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4"/>
                <w:u w:val="none"/>
                <w:vertAlign w:val="baseline"/>
              </w:rPr>
            </w:pPr>
          </w:p>
        </w:tc>
        <w:tc>
          <w:tcPr>
            <w:tcW w:w="103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4"/>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4"/>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4"/>
                <w:u w:val="none"/>
                <w:vertAlign w:val="baseline"/>
              </w:rPr>
            </w:pPr>
          </w:p>
        </w:tc>
      </w:tr>
      <w:tr>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390"/>
        </w:trPr>
        <w:tc>
          <w:tcPr>
            <w:tcW w:w="2775"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795"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Akciju kapitāls       EUR</w:t>
            </w:r>
          </w:p>
        </w:tc>
        <w:tc>
          <w:tcPr>
            <w:tcW w:w="66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Patiesās vērtības rezerve                               EUR</w:t>
            </w:r>
          </w:p>
        </w:tc>
        <w:tc>
          <w:tcPr>
            <w:tcW w:w="84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Valūtas pārvērtēšanas rezerve </w:t>
            </w:r>
          </w:p>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825"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Pārējās rezerves 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Nesadalītā peļņa                         EUR</w:t>
            </w:r>
          </w:p>
        </w:tc>
        <w:tc>
          <w:tcPr>
            <w:tcW w:w="1035"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pašu kapitāls, kas attiecināms uz Mātes sabiedrības akciju turētājiem             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Nekontrolējošā līdzdalība</w:t>
            </w:r>
          </w:p>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r>
      <w:tr>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2775" w:type="dxa"/>
            <w:tcBorders>
              <w:top w:val="single" w:sz="4" w:space="0" w:color="000000"/>
              <w:left w:val="nil"/>
              <w:bottom w:val="single" w:sz="4" w:space="0" w:color="000000"/>
              <w:right w:val="nil"/>
              <w:tl2br w:val="nil"/>
              <w:tr2bl w:val="nil"/>
            </w:tcBorders>
            <w:shd w:val="clear" w:color="auto" w:fill="auto"/>
            <w:noWrap w:val="0"/>
            <w:tcMar>
              <w:left w:w="40" w:type="dxa"/>
              <w:right w:w="40" w:type="dxa"/>
            </w:tcMar>
            <w:textDirection w:val="lrTb"/>
            <w:tcFitText w:val="0"/>
            <w:vAlign w:val="top"/>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Atlikums 01.01.2020.</w:t>
            </w:r>
          </w:p>
        </w:tc>
        <w:tc>
          <w:tcPr>
            <w:tcW w:w="795" w:type="dxa"/>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553" w:name="XBRL_CS_69d17af26a834f438e5c516a859830af"/>
            <w:bookmarkEnd w:id="553"/>
            <w:bookmarkStart w:id="554" w:name="69d17af26a834f438e5c516a859830af"/>
            <w:r>
              <w:rPr>
                <w:rFonts w:ascii="Arial Narrow" w:eastAsia="Arial Narrow" w:hAnsi="Arial Narrow" w:cs="Arial Narrow"/>
                <w:b/>
                <w:i w:val="0"/>
                <w:strike w:val="0"/>
                <w:color w:val="000000"/>
                <w:sz w:val="16"/>
                <w:u w:val="none"/>
                <w:vertAlign w:val="baseline"/>
              </w:rPr>
              <w:t>5,000,000</w:t>
            </w:r>
            <w:bookmarkStart w:id="555" w:name="XBRL_CE_69d17af26a834f438e5c516a859830af"/>
            <w:bookmarkEnd w:id="554"/>
            <w:bookmarkEnd w:id="555"/>
          </w:p>
        </w:tc>
        <w:tc>
          <w:tcPr>
            <w:tcW w:w="660" w:type="dxa"/>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556" w:name="XBRL_CS_af568537a37d499ebe70f97a1cede95f"/>
            <w:bookmarkEnd w:id="556"/>
            <w:bookmarkStart w:id="557" w:name="af568537a37d499ebe70f97a1cede95f"/>
            <w:r>
              <w:rPr>
                <w:rFonts w:ascii="Arial Narrow" w:eastAsia="Arial Narrow" w:hAnsi="Arial Narrow" w:cs="Arial Narrow"/>
                <w:b/>
                <w:i w:val="0"/>
                <w:strike w:val="0"/>
                <w:color w:val="000000"/>
                <w:sz w:val="16"/>
                <w:u w:val="none"/>
                <w:vertAlign w:val="baseline"/>
              </w:rPr>
              <w:t>-</w:t>
            </w:r>
            <w:bookmarkStart w:id="558" w:name="XBRL_CE_af568537a37d499ebe70f97a1cede95f"/>
            <w:bookmarkEnd w:id="557"/>
            <w:bookmarkEnd w:id="558"/>
          </w:p>
        </w:tc>
        <w:tc>
          <w:tcPr>
            <w:tcW w:w="840" w:type="dxa"/>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559" w:name="XBRL_CS_1e5229f38e8e4c25ac248baba10b92b7"/>
            <w:bookmarkEnd w:id="559"/>
            <w:bookmarkStart w:id="560" w:name="1e5229f38e8e4c25ac248baba10b92b7"/>
            <w:r>
              <w:rPr>
                <w:rFonts w:ascii="Arial Narrow" w:eastAsia="Arial Narrow" w:hAnsi="Arial Narrow" w:cs="Arial Narrow"/>
                <w:b/>
                <w:i w:val="0"/>
                <w:strike w:val="0"/>
                <w:color w:val="000000"/>
                <w:sz w:val="16"/>
                <w:u w:val="none"/>
                <w:vertAlign w:val="baseline"/>
              </w:rPr>
              <w:t>1</w:t>
            </w:r>
            <w:bookmarkStart w:id="561" w:name="XBRL_CE_1e5229f38e8e4c25ac248baba10b92b7"/>
            <w:bookmarkEnd w:id="560"/>
            <w:bookmarkEnd w:id="561"/>
          </w:p>
        </w:tc>
        <w:tc>
          <w:tcPr>
            <w:tcW w:w="825" w:type="dxa"/>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562" w:name="XBRL_CS_0f8d5ce5bdd04271bd777a918675f104"/>
            <w:bookmarkEnd w:id="562"/>
            <w:bookmarkStart w:id="563" w:name="0f8d5ce5bdd04271bd777a918675f104"/>
            <w:r>
              <w:rPr>
                <w:rFonts w:ascii="Arial Narrow" w:eastAsia="Arial Narrow" w:hAnsi="Arial Narrow" w:cs="Arial Narrow"/>
                <w:b/>
                <w:i w:val="0"/>
                <w:strike w:val="0"/>
                <w:color w:val="000000"/>
                <w:sz w:val="16"/>
                <w:u w:val="none"/>
                <w:vertAlign w:val="baseline"/>
              </w:rPr>
              <w:t>(4,769,833)</w:t>
            </w:r>
            <w:bookmarkStart w:id="564" w:name="XBRL_CE_0f8d5ce5bdd04271bd777a918675f104"/>
            <w:bookmarkEnd w:id="563"/>
            <w:bookmarkEnd w:id="564"/>
          </w:p>
        </w:tc>
        <w:tc>
          <w:tcPr>
            <w:tcW w:w="900" w:type="dxa"/>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565" w:name="XBRL_CS_2d59837827b84077a0fafd5a3f2bbfad"/>
            <w:bookmarkEnd w:id="565"/>
            <w:bookmarkStart w:id="566" w:name="2d59837827b84077a0fafd5a3f2bbfad"/>
            <w:r>
              <w:rPr>
                <w:rFonts w:ascii="Arial Narrow" w:eastAsia="Arial Narrow" w:hAnsi="Arial Narrow" w:cs="Arial Narrow"/>
                <w:b/>
                <w:i w:val="0"/>
                <w:strike w:val="0"/>
                <w:color w:val="000000"/>
                <w:sz w:val="16"/>
                <w:u w:val="none"/>
                <w:vertAlign w:val="baseline"/>
              </w:rPr>
              <w:t>7,640,671</w:t>
            </w:r>
            <w:bookmarkStart w:id="567" w:name="XBRL_CE_2d59837827b84077a0fafd5a3f2bbfad"/>
            <w:bookmarkEnd w:id="566"/>
            <w:bookmarkEnd w:id="567"/>
          </w:p>
        </w:tc>
        <w:tc>
          <w:tcPr>
            <w:tcW w:w="1035" w:type="dxa"/>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568" w:name="XBRL_CS_911fd7ac53374fa6980e781c6476e17e"/>
            <w:bookmarkEnd w:id="568"/>
            <w:bookmarkStart w:id="569" w:name="911fd7ac53374fa6980e781c6476e17e"/>
            <w:r>
              <w:rPr>
                <w:rFonts w:ascii="Arial Narrow" w:eastAsia="Arial Narrow" w:hAnsi="Arial Narrow" w:cs="Arial Narrow"/>
                <w:b/>
                <w:i w:val="0"/>
                <w:strike w:val="0"/>
                <w:color w:val="000000"/>
                <w:sz w:val="16"/>
                <w:u w:val="none"/>
                <w:vertAlign w:val="baseline"/>
              </w:rPr>
              <w:t>7,870,839</w:t>
            </w:r>
            <w:bookmarkStart w:id="570" w:name="XBRL_CE_911fd7ac53374fa6980e781c6476e17e"/>
            <w:bookmarkEnd w:id="569"/>
            <w:bookmarkEnd w:id="570"/>
          </w:p>
        </w:tc>
        <w:tc>
          <w:tcPr>
            <w:tcW w:w="900" w:type="dxa"/>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571" w:name="XBRL_CS_7ca5b90e811442d1bdde7c52a1d25eab"/>
            <w:bookmarkEnd w:id="571"/>
            <w:bookmarkStart w:id="572" w:name="7ca5b90e811442d1bdde7c52a1d25eab"/>
            <w:r>
              <w:rPr>
                <w:rFonts w:ascii="Arial Narrow" w:eastAsia="Arial Narrow" w:hAnsi="Arial Narrow" w:cs="Arial Narrow"/>
                <w:b/>
                <w:i w:val="0"/>
                <w:strike w:val="0"/>
                <w:color w:val="000000"/>
                <w:sz w:val="16"/>
                <w:u w:val="none"/>
                <w:vertAlign w:val="baseline"/>
              </w:rPr>
              <w:t>160,643</w:t>
            </w:r>
            <w:bookmarkStart w:id="573" w:name="XBRL_CE_7ca5b90e811442d1bdde7c52a1d25eab"/>
            <w:bookmarkEnd w:id="572"/>
            <w:bookmarkEnd w:id="573"/>
          </w:p>
        </w:tc>
        <w:tc>
          <w:tcPr>
            <w:tcW w:w="900" w:type="dxa"/>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574" w:name="XBRL_CS_3b8a8ca6335445419a7a2ef1704675bc"/>
            <w:bookmarkEnd w:id="574"/>
            <w:bookmarkStart w:id="575" w:name="3b8a8ca6335445419a7a2ef1704675bc"/>
            <w:r>
              <w:rPr>
                <w:rFonts w:ascii="Arial Narrow" w:eastAsia="Arial Narrow" w:hAnsi="Arial Narrow" w:cs="Arial Narrow"/>
                <w:b/>
                <w:i w:val="0"/>
                <w:strike w:val="0"/>
                <w:color w:val="000000"/>
                <w:sz w:val="16"/>
                <w:u w:val="none"/>
                <w:vertAlign w:val="baseline"/>
              </w:rPr>
              <w:t>8,031,482</w:t>
            </w:r>
            <w:bookmarkStart w:id="576" w:name="XBRL_CE_3b8a8ca6335445419a7a2ef1704675bc"/>
            <w:bookmarkEnd w:id="575"/>
            <w:bookmarkEnd w:id="576"/>
          </w:p>
        </w:tc>
      </w:tr>
      <w:tr>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2775"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top"/>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Pārskata gada peļņa</w:t>
            </w:r>
          </w:p>
        </w:tc>
        <w:tc>
          <w:tcPr>
            <w:tcW w:w="795"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77" w:name="XBRL_CS_99a35726559b475e8b3012bb8c6a9ce8"/>
            <w:bookmarkEnd w:id="577"/>
            <w:bookmarkStart w:id="578" w:name="99a35726559b475e8b3012bb8c6a9ce8"/>
            <w:r>
              <w:rPr>
                <w:rFonts w:ascii="Arial Narrow" w:eastAsia="Arial Narrow" w:hAnsi="Arial Narrow" w:cs="Arial Narrow"/>
                <w:b w:val="0"/>
                <w:i w:val="0"/>
                <w:strike w:val="0"/>
                <w:color w:val="000000"/>
                <w:sz w:val="16"/>
                <w:u w:val="none"/>
                <w:vertAlign w:val="baseline"/>
              </w:rPr>
              <w:t>-</w:t>
            </w:r>
            <w:bookmarkStart w:id="579" w:name="XBRL_CE_99a35726559b475e8b3012bb8c6a9ce8"/>
            <w:bookmarkEnd w:id="578"/>
            <w:bookmarkEnd w:id="579"/>
          </w:p>
        </w:tc>
        <w:tc>
          <w:tcPr>
            <w:tcW w:w="66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80" w:name="XBRL_CS_6fb599a2f7414595942f0043bb6a3e10"/>
            <w:bookmarkEnd w:id="580"/>
            <w:bookmarkStart w:id="581" w:name="6fb599a2f7414595942f0043bb6a3e10"/>
            <w:r>
              <w:rPr>
                <w:rFonts w:ascii="Arial Narrow" w:eastAsia="Arial Narrow" w:hAnsi="Arial Narrow" w:cs="Arial Narrow"/>
                <w:b w:val="0"/>
                <w:i w:val="0"/>
                <w:strike w:val="0"/>
                <w:color w:val="000000"/>
                <w:sz w:val="16"/>
                <w:u w:val="none"/>
                <w:vertAlign w:val="baseline"/>
              </w:rPr>
              <w:t>-</w:t>
            </w:r>
            <w:bookmarkStart w:id="582" w:name="XBRL_CE_6fb599a2f7414595942f0043bb6a3e10"/>
            <w:bookmarkEnd w:id="581"/>
            <w:bookmarkEnd w:id="582"/>
          </w:p>
        </w:tc>
        <w:tc>
          <w:tcPr>
            <w:tcW w:w="84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83" w:name="XBRL_CS_cd517520f31e44cfbb1aee46ee774e54"/>
            <w:bookmarkEnd w:id="583"/>
            <w:bookmarkStart w:id="584" w:name="cd517520f31e44cfbb1aee46ee774e54"/>
            <w:r>
              <w:rPr>
                <w:rFonts w:ascii="Arial Narrow" w:eastAsia="Arial Narrow" w:hAnsi="Arial Narrow" w:cs="Arial Narrow"/>
                <w:b w:val="0"/>
                <w:i w:val="0"/>
                <w:strike w:val="0"/>
                <w:color w:val="000000"/>
                <w:sz w:val="16"/>
                <w:u w:val="none"/>
                <w:vertAlign w:val="baseline"/>
              </w:rPr>
              <w:t>-</w:t>
            </w:r>
            <w:bookmarkStart w:id="585" w:name="XBRL_CE_cd517520f31e44cfbb1aee46ee774e54"/>
            <w:bookmarkEnd w:id="584"/>
            <w:bookmarkEnd w:id="585"/>
          </w:p>
        </w:tc>
        <w:tc>
          <w:tcPr>
            <w:tcW w:w="825"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86" w:name="XBRL_CS_e2bd75f76c61451498279bc4378b7a7c"/>
            <w:bookmarkEnd w:id="586"/>
            <w:bookmarkStart w:id="587" w:name="e2bd75f76c61451498279bc4378b7a7c"/>
            <w:r>
              <w:rPr>
                <w:rFonts w:ascii="Arial Narrow" w:eastAsia="Arial Narrow" w:hAnsi="Arial Narrow" w:cs="Arial Narrow"/>
                <w:b w:val="0"/>
                <w:i w:val="0"/>
                <w:strike w:val="0"/>
                <w:color w:val="000000"/>
                <w:sz w:val="16"/>
                <w:u w:val="none"/>
                <w:vertAlign w:val="baseline"/>
              </w:rPr>
              <w:t>-</w:t>
            </w:r>
            <w:bookmarkStart w:id="588" w:name="XBRL_CE_e2bd75f76c61451498279bc4378b7a7c"/>
            <w:bookmarkEnd w:id="587"/>
            <w:bookmarkEnd w:id="588"/>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89" w:name="XBRL_CS_f8c5322e00054369b7aad9fa6cead0c5"/>
            <w:bookmarkEnd w:id="589"/>
            <w:bookmarkStart w:id="590" w:name="f8c5322e00054369b7aad9fa6cead0c5"/>
            <w:r>
              <w:rPr>
                <w:rFonts w:ascii="Arial Narrow" w:eastAsia="Arial Narrow" w:hAnsi="Arial Narrow" w:cs="Arial Narrow"/>
                <w:b w:val="0"/>
                <w:i w:val="0"/>
                <w:strike w:val="0"/>
                <w:color w:val="000000"/>
                <w:sz w:val="16"/>
                <w:u w:val="none"/>
                <w:vertAlign w:val="baseline"/>
              </w:rPr>
              <w:t>5,454,561</w:t>
            </w:r>
            <w:bookmarkStart w:id="591" w:name="XBRL_CE_f8c5322e00054369b7aad9fa6cead0c5"/>
            <w:bookmarkEnd w:id="590"/>
            <w:bookmarkEnd w:id="591"/>
          </w:p>
        </w:tc>
        <w:tc>
          <w:tcPr>
            <w:tcW w:w="1035"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92" w:name="XBRL_CS_fac5bc79ecc8487babed7d2f486517c4"/>
            <w:bookmarkEnd w:id="592"/>
            <w:bookmarkStart w:id="593" w:name="fac5bc79ecc8487babed7d2f486517c4"/>
            <w:r>
              <w:rPr>
                <w:rFonts w:ascii="Arial Narrow" w:eastAsia="Arial Narrow" w:hAnsi="Arial Narrow" w:cs="Arial Narrow"/>
                <w:b w:val="0"/>
                <w:i w:val="0"/>
                <w:strike w:val="0"/>
                <w:color w:val="000000"/>
                <w:sz w:val="16"/>
                <w:u w:val="none"/>
                <w:vertAlign w:val="baseline"/>
              </w:rPr>
              <w:t>5,454,561</w:t>
            </w:r>
            <w:bookmarkStart w:id="594" w:name="XBRL_CE_fac5bc79ecc8487babed7d2f486517c4"/>
            <w:bookmarkEnd w:id="593"/>
            <w:bookmarkEnd w:id="594"/>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95" w:name="XBRL_CS_a4248fe5da2745e0a3ce705aa773942c"/>
            <w:bookmarkEnd w:id="595"/>
            <w:bookmarkStart w:id="596" w:name="a4248fe5da2745e0a3ce705aa773942c"/>
            <w:r>
              <w:rPr>
                <w:rFonts w:ascii="Arial Narrow" w:eastAsia="Arial Narrow" w:hAnsi="Arial Narrow" w:cs="Arial Narrow"/>
                <w:b w:val="0"/>
                <w:i w:val="0"/>
                <w:strike w:val="0"/>
                <w:color w:val="000000"/>
                <w:sz w:val="16"/>
                <w:u w:val="none"/>
                <w:vertAlign w:val="baseline"/>
              </w:rPr>
              <w:t>111,318</w:t>
            </w:r>
            <w:bookmarkStart w:id="597" w:name="XBRL_CE_a4248fe5da2745e0a3ce705aa773942c"/>
            <w:bookmarkEnd w:id="596"/>
            <w:bookmarkEnd w:id="597"/>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598" w:name="XBRL_CS_fea11f6c0c1e4580a8d6b935174a3e62"/>
            <w:bookmarkEnd w:id="598"/>
            <w:bookmarkStart w:id="599" w:name="fea11f6c0c1e4580a8d6b935174a3e62"/>
            <w:r>
              <w:rPr>
                <w:rFonts w:ascii="Arial Narrow" w:eastAsia="Arial Narrow" w:hAnsi="Arial Narrow" w:cs="Arial Narrow"/>
                <w:b w:val="0"/>
                <w:i w:val="0"/>
                <w:strike w:val="0"/>
                <w:color w:val="000000"/>
                <w:sz w:val="16"/>
                <w:u w:val="none"/>
                <w:vertAlign w:val="baseline"/>
              </w:rPr>
              <w:t>5,565,879</w:t>
            </w:r>
            <w:bookmarkStart w:id="600" w:name="XBRL_CE_fea11f6c0c1e4580a8d6b935174a3e62"/>
            <w:bookmarkEnd w:id="599"/>
            <w:bookmarkEnd w:id="600"/>
          </w:p>
        </w:tc>
      </w:tr>
      <w:tr>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2775" w:type="dxa"/>
            <w:tcBorders>
              <w:top w:val="nil"/>
              <w:left w:val="nil"/>
              <w:bottom w:val="nil"/>
              <w:right w:val="nil"/>
              <w:tl2br w:val="nil"/>
              <w:tr2bl w:val="nil"/>
            </w:tcBorders>
            <w:shd w:val="clear" w:color="auto" w:fill="auto"/>
            <w:noWrap w:val="0"/>
            <w:tcMar>
              <w:left w:w="40" w:type="dxa"/>
              <w:right w:w="40" w:type="dxa"/>
            </w:tcMar>
            <w:textDirection w:val="lrTb"/>
            <w:tcFitText w:val="0"/>
            <w:vAlign w:val="top"/>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Pārējie apvienotie zaudējumi</w:t>
            </w:r>
          </w:p>
        </w:tc>
        <w:tc>
          <w:tcPr>
            <w:tcW w:w="795"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01" w:name="XBRL_CS_2b33c5ad46334540b21ab70549a0c26d"/>
            <w:bookmarkEnd w:id="601"/>
            <w:bookmarkStart w:id="602" w:name="2b33c5ad46334540b21ab70549a0c26d"/>
            <w:r>
              <w:rPr>
                <w:rFonts w:ascii="Arial Narrow" w:eastAsia="Arial Narrow" w:hAnsi="Arial Narrow" w:cs="Arial Narrow"/>
                <w:b w:val="0"/>
                <w:i w:val="0"/>
                <w:strike w:val="0"/>
                <w:color w:val="000000"/>
                <w:sz w:val="16"/>
                <w:u w:val="none"/>
                <w:vertAlign w:val="baseline"/>
              </w:rPr>
              <w:t>-</w:t>
            </w:r>
            <w:bookmarkStart w:id="603" w:name="XBRL_CE_2b33c5ad46334540b21ab70549a0c26d"/>
            <w:bookmarkEnd w:id="602"/>
            <w:bookmarkEnd w:id="603"/>
          </w:p>
        </w:tc>
        <w:tc>
          <w:tcPr>
            <w:tcW w:w="66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04" w:name="XBRL_CS_4384172a97624d9fba1fa02bd1ff22bd"/>
            <w:bookmarkEnd w:id="604"/>
            <w:bookmarkStart w:id="605" w:name="4384172a97624d9fba1fa02bd1ff22bd"/>
            <w:r>
              <w:rPr>
                <w:rFonts w:ascii="Arial Narrow" w:eastAsia="Arial Narrow" w:hAnsi="Arial Narrow" w:cs="Arial Narrow"/>
                <w:b w:val="0"/>
                <w:i w:val="0"/>
                <w:strike w:val="0"/>
                <w:color w:val="000000"/>
                <w:sz w:val="16"/>
                <w:u w:val="none"/>
                <w:vertAlign w:val="baseline"/>
              </w:rPr>
              <w:t>(23,511)</w:t>
            </w:r>
            <w:bookmarkStart w:id="606" w:name="XBRL_CE_4384172a97624d9fba1fa02bd1ff22bd"/>
            <w:bookmarkEnd w:id="605"/>
            <w:bookmarkEnd w:id="606"/>
          </w:p>
        </w:tc>
        <w:tc>
          <w:tcPr>
            <w:tcW w:w="84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07" w:name="XBRL_CS_fd40a6f7e5db4d97a70a27097999ba43"/>
            <w:bookmarkEnd w:id="607"/>
            <w:bookmarkStart w:id="608" w:name="fd40a6f7e5db4d97a70a27097999ba43"/>
            <w:r>
              <w:rPr>
                <w:rFonts w:ascii="Arial Narrow" w:eastAsia="Arial Narrow" w:hAnsi="Arial Narrow" w:cs="Arial Narrow"/>
                <w:b w:val="0"/>
                <w:i w:val="0"/>
                <w:strike w:val="0"/>
                <w:color w:val="000000"/>
                <w:sz w:val="16"/>
                <w:u w:val="none"/>
                <w:vertAlign w:val="baseline"/>
              </w:rPr>
              <w:t>-</w:t>
            </w:r>
            <w:bookmarkStart w:id="609" w:name="XBRL_CE_fd40a6f7e5db4d97a70a27097999ba43"/>
            <w:bookmarkEnd w:id="608"/>
            <w:bookmarkEnd w:id="609"/>
          </w:p>
        </w:tc>
        <w:tc>
          <w:tcPr>
            <w:tcW w:w="825"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10" w:name="XBRL_CS_a5c44496a1194e43b99b2d703698cf41"/>
            <w:bookmarkEnd w:id="610"/>
            <w:bookmarkStart w:id="611" w:name="a5c44496a1194e43b99b2d703698cf41"/>
            <w:r>
              <w:rPr>
                <w:rFonts w:ascii="Arial Narrow" w:eastAsia="Arial Narrow" w:hAnsi="Arial Narrow" w:cs="Arial Narrow"/>
                <w:b w:val="0"/>
                <w:i w:val="0"/>
                <w:strike w:val="0"/>
                <w:color w:val="000000"/>
                <w:sz w:val="16"/>
                <w:u w:val="none"/>
                <w:vertAlign w:val="baseline"/>
              </w:rPr>
              <w:t>-</w:t>
            </w:r>
            <w:bookmarkStart w:id="612" w:name="XBRL_CE_a5c44496a1194e43b99b2d703698cf41"/>
            <w:bookmarkEnd w:id="611"/>
            <w:bookmarkEnd w:id="612"/>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13" w:name="XBRL_CS_95bcd57964ad44de93e8902feef7d33d"/>
            <w:bookmarkEnd w:id="613"/>
            <w:bookmarkStart w:id="614" w:name="95bcd57964ad44de93e8902feef7d33d"/>
            <w:r>
              <w:rPr>
                <w:rFonts w:ascii="Arial Narrow" w:eastAsia="Arial Narrow" w:hAnsi="Arial Narrow" w:cs="Arial Narrow"/>
                <w:b w:val="0"/>
                <w:i w:val="0"/>
                <w:strike w:val="0"/>
                <w:color w:val="000000"/>
                <w:sz w:val="16"/>
                <w:u w:val="none"/>
                <w:vertAlign w:val="baseline"/>
              </w:rPr>
              <w:t>-</w:t>
            </w:r>
            <w:bookmarkStart w:id="615" w:name="XBRL_CE_95bcd57964ad44de93e8902feef7d33d"/>
            <w:bookmarkEnd w:id="614"/>
            <w:bookmarkEnd w:id="615"/>
          </w:p>
        </w:tc>
        <w:tc>
          <w:tcPr>
            <w:tcW w:w="1035"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16" w:name="XBRL_CS_070b93e9f5084e06b4d3fca99284fee5"/>
            <w:bookmarkEnd w:id="616"/>
            <w:bookmarkStart w:id="617" w:name="070b93e9f5084e06b4d3fca99284fee5"/>
            <w:r>
              <w:rPr>
                <w:rFonts w:ascii="Arial Narrow" w:eastAsia="Arial Narrow" w:hAnsi="Arial Narrow" w:cs="Arial Narrow"/>
                <w:b w:val="0"/>
                <w:i w:val="0"/>
                <w:strike w:val="0"/>
                <w:color w:val="000000"/>
                <w:sz w:val="16"/>
                <w:u w:val="none"/>
                <w:vertAlign w:val="baseline"/>
              </w:rPr>
              <w:t>(23,511)</w:t>
            </w:r>
            <w:bookmarkStart w:id="618" w:name="XBRL_CE_070b93e9f5084e06b4d3fca99284fee5"/>
            <w:bookmarkEnd w:id="617"/>
            <w:bookmarkEnd w:id="618"/>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19" w:name="XBRL_CS_fd4fb7409b964bddbea819da6f88a0bd"/>
            <w:bookmarkEnd w:id="619"/>
            <w:bookmarkStart w:id="620" w:name="fd4fb7409b964bddbea819da6f88a0bd"/>
            <w:r>
              <w:rPr>
                <w:rFonts w:ascii="Arial Narrow" w:eastAsia="Arial Narrow" w:hAnsi="Arial Narrow" w:cs="Arial Narrow"/>
                <w:b w:val="0"/>
                <w:i w:val="0"/>
                <w:strike w:val="0"/>
                <w:color w:val="000000"/>
                <w:sz w:val="16"/>
                <w:u w:val="none"/>
                <w:vertAlign w:val="baseline"/>
              </w:rPr>
              <w:t>(480)</w:t>
            </w:r>
            <w:bookmarkStart w:id="621" w:name="XBRL_CE_fd4fb7409b964bddbea819da6f88a0bd"/>
            <w:bookmarkEnd w:id="620"/>
            <w:bookmarkEnd w:id="621"/>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22" w:name="XBRL_CS_767784f5c70245fd94586d79e077c0d0"/>
            <w:bookmarkEnd w:id="622"/>
            <w:bookmarkStart w:id="623" w:name="767784f5c70245fd94586d79e077c0d0"/>
            <w:r>
              <w:rPr>
                <w:rFonts w:ascii="Arial Narrow" w:eastAsia="Arial Narrow" w:hAnsi="Arial Narrow" w:cs="Arial Narrow"/>
                <w:b w:val="0"/>
                <w:i w:val="0"/>
                <w:strike w:val="0"/>
                <w:color w:val="000000"/>
                <w:sz w:val="16"/>
                <w:u w:val="none"/>
                <w:vertAlign w:val="baseline"/>
              </w:rPr>
              <w:t>(23,991)</w:t>
            </w:r>
            <w:bookmarkStart w:id="624" w:name="XBRL_CE_767784f5c70245fd94586d79e077c0d0"/>
            <w:bookmarkEnd w:id="623"/>
            <w:bookmarkEnd w:id="624"/>
          </w:p>
        </w:tc>
      </w:tr>
      <w:tr>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2775" w:type="dxa"/>
            <w:tcBorders>
              <w:top w:val="nil"/>
              <w:left w:val="nil"/>
              <w:bottom w:val="nil"/>
              <w:right w:val="nil"/>
              <w:tl2br w:val="nil"/>
              <w:tr2bl w:val="nil"/>
            </w:tcBorders>
            <w:shd w:val="clear" w:color="auto" w:fill="auto"/>
            <w:noWrap w:val="0"/>
            <w:tcMar>
              <w:left w:w="40" w:type="dxa"/>
              <w:right w:w="40" w:type="dxa"/>
            </w:tcMar>
            <w:textDirection w:val="lrTb"/>
            <w:tcFitText w:val="0"/>
            <w:vAlign w:val="top"/>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pārskata perioda apvienotie ienākumi</w:t>
            </w:r>
          </w:p>
        </w:tc>
        <w:tc>
          <w:tcPr>
            <w:tcW w:w="795"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25" w:name="XBRL_CS_82b4451b4c234473adf5fe3976c3ae40"/>
            <w:bookmarkEnd w:id="625"/>
            <w:bookmarkStart w:id="626" w:name="82b4451b4c234473adf5fe3976c3ae40"/>
            <w:r>
              <w:rPr>
                <w:rFonts w:ascii="Arial Narrow" w:eastAsia="Arial Narrow" w:hAnsi="Arial Narrow" w:cs="Arial Narrow"/>
                <w:b w:val="0"/>
                <w:i w:val="0"/>
                <w:strike w:val="0"/>
                <w:color w:val="000000"/>
                <w:sz w:val="16"/>
                <w:u w:val="none"/>
                <w:vertAlign w:val="baseline"/>
              </w:rPr>
              <w:t>-</w:t>
            </w:r>
            <w:bookmarkStart w:id="627" w:name="XBRL_CE_82b4451b4c234473adf5fe3976c3ae40"/>
            <w:bookmarkEnd w:id="626"/>
            <w:bookmarkEnd w:id="627"/>
          </w:p>
        </w:tc>
        <w:tc>
          <w:tcPr>
            <w:tcW w:w="660"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28" w:name="XBRL_CS_ecae0d1e0876479392391ac2cd9f2933"/>
            <w:bookmarkEnd w:id="628"/>
            <w:bookmarkStart w:id="629" w:name="ecae0d1e0876479392391ac2cd9f2933"/>
            <w:r>
              <w:rPr>
                <w:rFonts w:ascii="Arial Narrow" w:eastAsia="Arial Narrow" w:hAnsi="Arial Narrow" w:cs="Arial Narrow"/>
                <w:b w:val="0"/>
                <w:i w:val="0"/>
                <w:strike w:val="0"/>
                <w:color w:val="000000"/>
                <w:sz w:val="16"/>
                <w:u w:val="none"/>
                <w:vertAlign w:val="baseline"/>
              </w:rPr>
              <w:t>(23,511)</w:t>
            </w:r>
            <w:bookmarkStart w:id="630" w:name="XBRL_CE_ecae0d1e0876479392391ac2cd9f2933"/>
            <w:bookmarkEnd w:id="629"/>
            <w:bookmarkEnd w:id="630"/>
          </w:p>
        </w:tc>
        <w:tc>
          <w:tcPr>
            <w:tcW w:w="840"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31" w:name="XBRL_CS_5644545ff7ce4838a2b2136eec3db136"/>
            <w:bookmarkEnd w:id="631"/>
            <w:bookmarkStart w:id="632" w:name="5644545ff7ce4838a2b2136eec3db136"/>
            <w:r>
              <w:rPr>
                <w:rFonts w:ascii="Arial Narrow" w:eastAsia="Arial Narrow" w:hAnsi="Arial Narrow" w:cs="Arial Narrow"/>
                <w:b w:val="0"/>
                <w:i w:val="0"/>
                <w:strike w:val="0"/>
                <w:color w:val="000000"/>
                <w:sz w:val="16"/>
                <w:u w:val="none"/>
                <w:vertAlign w:val="baseline"/>
              </w:rPr>
              <w:t>-</w:t>
            </w:r>
            <w:bookmarkStart w:id="633" w:name="XBRL_CE_5644545ff7ce4838a2b2136eec3db136"/>
            <w:bookmarkEnd w:id="632"/>
            <w:bookmarkEnd w:id="633"/>
          </w:p>
        </w:tc>
        <w:tc>
          <w:tcPr>
            <w:tcW w:w="825"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34" w:name="XBRL_CS_4c24d42b1a87446399c28b1143079a7f"/>
            <w:bookmarkEnd w:id="634"/>
            <w:bookmarkStart w:id="635" w:name="4c24d42b1a87446399c28b1143079a7f"/>
            <w:r>
              <w:rPr>
                <w:rFonts w:ascii="Arial Narrow" w:eastAsia="Arial Narrow" w:hAnsi="Arial Narrow" w:cs="Arial Narrow"/>
                <w:b w:val="0"/>
                <w:i w:val="0"/>
                <w:strike w:val="0"/>
                <w:color w:val="000000"/>
                <w:sz w:val="16"/>
                <w:u w:val="none"/>
                <w:vertAlign w:val="baseline"/>
              </w:rPr>
              <w:t>-</w:t>
            </w:r>
            <w:bookmarkStart w:id="636" w:name="XBRL_CE_4c24d42b1a87446399c28b1143079a7f"/>
            <w:bookmarkEnd w:id="635"/>
            <w:bookmarkEnd w:id="636"/>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37" w:name="XBRL_CS_879649bb1d7c4231b225caa379ff42b4"/>
            <w:bookmarkEnd w:id="637"/>
            <w:bookmarkStart w:id="638" w:name="879649bb1d7c4231b225caa379ff42b4"/>
            <w:r>
              <w:rPr>
                <w:rFonts w:ascii="Arial Narrow" w:eastAsia="Arial Narrow" w:hAnsi="Arial Narrow" w:cs="Arial Narrow"/>
                <w:b w:val="0"/>
                <w:i w:val="0"/>
                <w:strike w:val="0"/>
                <w:color w:val="000000"/>
                <w:sz w:val="16"/>
                <w:u w:val="none"/>
                <w:vertAlign w:val="baseline"/>
              </w:rPr>
              <w:t>5,454,561</w:t>
            </w:r>
            <w:bookmarkStart w:id="639" w:name="XBRL_CE_879649bb1d7c4231b225caa379ff42b4"/>
            <w:bookmarkEnd w:id="638"/>
            <w:bookmarkEnd w:id="639"/>
          </w:p>
        </w:tc>
        <w:tc>
          <w:tcPr>
            <w:tcW w:w="1035"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40" w:name="XBRL_CS_e629514afb0440b1b7134c3090cdc759"/>
            <w:bookmarkEnd w:id="640"/>
            <w:bookmarkStart w:id="641" w:name="e629514afb0440b1b7134c3090cdc759"/>
            <w:r>
              <w:rPr>
                <w:rFonts w:ascii="Arial Narrow" w:eastAsia="Arial Narrow" w:hAnsi="Arial Narrow" w:cs="Arial Narrow"/>
                <w:b w:val="0"/>
                <w:i w:val="0"/>
                <w:strike w:val="0"/>
                <w:color w:val="000000"/>
                <w:sz w:val="16"/>
                <w:u w:val="none"/>
                <w:vertAlign w:val="baseline"/>
              </w:rPr>
              <w:t>5,431,050</w:t>
            </w:r>
            <w:bookmarkStart w:id="642" w:name="XBRL_CE_e629514afb0440b1b7134c3090cdc759"/>
            <w:bookmarkEnd w:id="641"/>
            <w:bookmarkEnd w:id="642"/>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43" w:name="XBRL_CS_91b86897b53a461c8dc8e30857d690d6"/>
            <w:bookmarkEnd w:id="643"/>
            <w:bookmarkStart w:id="644" w:name="91b86897b53a461c8dc8e30857d690d6"/>
            <w:r>
              <w:rPr>
                <w:rFonts w:ascii="Arial Narrow" w:eastAsia="Arial Narrow" w:hAnsi="Arial Narrow" w:cs="Arial Narrow"/>
                <w:b w:val="0"/>
                <w:i w:val="0"/>
                <w:strike w:val="0"/>
                <w:color w:val="000000"/>
                <w:sz w:val="16"/>
                <w:u w:val="none"/>
                <w:vertAlign w:val="baseline"/>
              </w:rPr>
              <w:t>110,838</w:t>
            </w:r>
            <w:bookmarkStart w:id="645" w:name="XBRL_CE_91b86897b53a461c8dc8e30857d690d6"/>
            <w:bookmarkEnd w:id="644"/>
            <w:bookmarkEnd w:id="645"/>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46" w:name="XBRL_CS_5fe9629c99af425e9f5be4f18234c6eb"/>
            <w:bookmarkEnd w:id="646"/>
            <w:bookmarkStart w:id="647" w:name="5fe9629c99af425e9f5be4f18234c6eb"/>
            <w:r>
              <w:rPr>
                <w:rFonts w:ascii="Arial Narrow" w:eastAsia="Arial Narrow" w:hAnsi="Arial Narrow" w:cs="Arial Narrow"/>
                <w:b w:val="0"/>
                <w:i w:val="0"/>
                <w:strike w:val="0"/>
                <w:color w:val="000000"/>
                <w:sz w:val="16"/>
                <w:u w:val="none"/>
                <w:vertAlign w:val="baseline"/>
              </w:rPr>
              <w:t>5,541,888</w:t>
            </w:r>
            <w:bookmarkStart w:id="648" w:name="XBRL_CE_5fe9629c99af425e9f5be4f18234c6eb"/>
            <w:bookmarkEnd w:id="647"/>
            <w:bookmarkEnd w:id="648"/>
          </w:p>
        </w:tc>
      </w:tr>
      <w:tr>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2775" w:type="dxa"/>
            <w:tcBorders>
              <w:top w:val="nil"/>
              <w:left w:val="nil"/>
              <w:bottom w:val="nil"/>
              <w:right w:val="nil"/>
              <w:tl2br w:val="nil"/>
              <w:tr2bl w:val="nil"/>
            </w:tcBorders>
            <w:shd w:val="clear" w:color="auto" w:fill="auto"/>
            <w:noWrap w:val="0"/>
            <w:tcMar>
              <w:left w:w="40" w:type="dxa"/>
              <w:right w:w="40" w:type="dxa"/>
            </w:tcMar>
            <w:textDirection w:val="lrTb"/>
            <w:tcFitText w:val="0"/>
            <w:vAlign w:val="top"/>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Starpība, kas veidojas no sākotnējās garantijas atzīšanas pārtraukšanas un modificētās garantijas atzīšanas (Piezīme 39)</w:t>
            </w:r>
          </w:p>
        </w:tc>
        <w:tc>
          <w:tcPr>
            <w:tcW w:w="795"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49" w:name="XBRL_CS_ceec152ffaff4c658fe5f16bc7e26e41"/>
            <w:bookmarkEnd w:id="649"/>
            <w:bookmarkStart w:id="650" w:name="ceec152ffaff4c658fe5f16bc7e26e41"/>
            <w:r>
              <w:rPr>
                <w:rFonts w:ascii="Arial Narrow" w:eastAsia="Arial Narrow" w:hAnsi="Arial Narrow" w:cs="Arial Narrow"/>
                <w:b w:val="0"/>
                <w:i w:val="0"/>
                <w:strike w:val="0"/>
                <w:color w:val="000000"/>
                <w:sz w:val="16"/>
                <w:u w:val="none"/>
                <w:vertAlign w:val="baseline"/>
              </w:rPr>
              <w:t>-</w:t>
            </w:r>
            <w:bookmarkStart w:id="651" w:name="XBRL_CE_ceec152ffaff4c658fe5f16bc7e26e41"/>
            <w:bookmarkEnd w:id="650"/>
            <w:bookmarkEnd w:id="651"/>
          </w:p>
        </w:tc>
        <w:tc>
          <w:tcPr>
            <w:tcW w:w="66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52" w:name="XBRL_CS_a93126e2f087455bb1a6f9cc6935c2f2"/>
            <w:bookmarkEnd w:id="652"/>
            <w:bookmarkStart w:id="653" w:name="a93126e2f087455bb1a6f9cc6935c2f2"/>
            <w:r>
              <w:rPr>
                <w:rFonts w:ascii="Arial Narrow" w:eastAsia="Arial Narrow" w:hAnsi="Arial Narrow" w:cs="Arial Narrow"/>
                <w:b w:val="0"/>
                <w:i w:val="0"/>
                <w:strike w:val="0"/>
                <w:color w:val="000000"/>
                <w:sz w:val="16"/>
                <w:u w:val="none"/>
                <w:vertAlign w:val="baseline"/>
              </w:rPr>
              <w:t>-</w:t>
            </w:r>
            <w:bookmarkStart w:id="654" w:name="XBRL_CE_a93126e2f087455bb1a6f9cc6935c2f2"/>
            <w:bookmarkEnd w:id="653"/>
            <w:bookmarkEnd w:id="654"/>
          </w:p>
        </w:tc>
        <w:tc>
          <w:tcPr>
            <w:tcW w:w="84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55" w:name="XBRL_CS_3f74f68766244bb98932699172904f65"/>
            <w:bookmarkEnd w:id="655"/>
            <w:bookmarkStart w:id="656" w:name="3f74f68766244bb98932699172904f65"/>
            <w:r>
              <w:rPr>
                <w:rFonts w:ascii="Arial Narrow" w:eastAsia="Arial Narrow" w:hAnsi="Arial Narrow" w:cs="Arial Narrow"/>
                <w:b w:val="0"/>
                <w:i w:val="0"/>
                <w:strike w:val="0"/>
                <w:color w:val="000000"/>
                <w:sz w:val="16"/>
                <w:u w:val="none"/>
                <w:vertAlign w:val="baseline"/>
              </w:rPr>
              <w:t>-</w:t>
            </w:r>
            <w:bookmarkStart w:id="657" w:name="XBRL_CE_3f74f68766244bb98932699172904f65"/>
            <w:bookmarkEnd w:id="656"/>
            <w:bookmarkEnd w:id="657"/>
          </w:p>
        </w:tc>
        <w:tc>
          <w:tcPr>
            <w:tcW w:w="825"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58" w:name="XBRL_CS_a0b2bfceefbf4a8d9f74b8ee54a6ca42"/>
            <w:bookmarkEnd w:id="658"/>
            <w:bookmarkStart w:id="659" w:name="a0b2bfceefbf4a8d9f74b8ee54a6ca42"/>
            <w:r>
              <w:rPr>
                <w:rFonts w:ascii="Arial Narrow" w:eastAsia="Arial Narrow" w:hAnsi="Arial Narrow" w:cs="Arial Narrow"/>
                <w:b w:val="0"/>
                <w:i w:val="0"/>
                <w:strike w:val="0"/>
                <w:color w:val="000000"/>
                <w:sz w:val="16"/>
                <w:u w:val="none"/>
                <w:vertAlign w:val="baseline"/>
              </w:rPr>
              <w:t>684,427</w:t>
            </w:r>
            <w:bookmarkStart w:id="660" w:name="XBRL_CE_a0b2bfceefbf4a8d9f74b8ee54a6ca42"/>
            <w:bookmarkEnd w:id="659"/>
            <w:bookmarkEnd w:id="660"/>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61" w:name="XBRL_CS_4a7ad90bbe9d48db9fdbbf5355ea827d"/>
            <w:bookmarkEnd w:id="661"/>
            <w:bookmarkStart w:id="662" w:name="4a7ad90bbe9d48db9fdbbf5355ea827d"/>
            <w:r>
              <w:rPr>
                <w:rFonts w:ascii="Arial Narrow" w:eastAsia="Arial Narrow" w:hAnsi="Arial Narrow" w:cs="Arial Narrow"/>
                <w:b w:val="0"/>
                <w:i w:val="0"/>
                <w:strike w:val="0"/>
                <w:color w:val="000000"/>
                <w:sz w:val="16"/>
                <w:u w:val="none"/>
                <w:vertAlign w:val="baseline"/>
              </w:rPr>
              <w:t>-</w:t>
            </w:r>
            <w:bookmarkStart w:id="663" w:name="XBRL_CE_4a7ad90bbe9d48db9fdbbf5355ea827d"/>
            <w:bookmarkEnd w:id="662"/>
            <w:bookmarkEnd w:id="663"/>
          </w:p>
        </w:tc>
        <w:tc>
          <w:tcPr>
            <w:tcW w:w="1035"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64" w:name="XBRL_CS_00fde82411874182a7b91fa7d014d584"/>
            <w:bookmarkEnd w:id="664"/>
            <w:bookmarkStart w:id="665" w:name="00fde82411874182a7b91fa7d014d584"/>
            <w:r>
              <w:rPr>
                <w:rFonts w:ascii="Arial Narrow" w:eastAsia="Arial Narrow" w:hAnsi="Arial Narrow" w:cs="Arial Narrow"/>
                <w:b w:val="0"/>
                <w:i w:val="0"/>
                <w:strike w:val="0"/>
                <w:color w:val="000000"/>
                <w:sz w:val="16"/>
                <w:u w:val="none"/>
                <w:vertAlign w:val="baseline"/>
              </w:rPr>
              <w:t>684,427</w:t>
            </w:r>
            <w:bookmarkStart w:id="666" w:name="XBRL_CE_00fde82411874182a7b91fa7d014d584"/>
            <w:bookmarkEnd w:id="665"/>
            <w:bookmarkEnd w:id="666"/>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67" w:name="XBRL_CS_640c7a32758e4bd3898004110458abba"/>
            <w:bookmarkEnd w:id="667"/>
            <w:bookmarkStart w:id="668" w:name="640c7a32758e4bd3898004110458abba"/>
            <w:r>
              <w:rPr>
                <w:rFonts w:ascii="Arial Narrow" w:eastAsia="Arial Narrow" w:hAnsi="Arial Narrow" w:cs="Arial Narrow"/>
                <w:b w:val="0"/>
                <w:i w:val="0"/>
                <w:strike w:val="0"/>
                <w:color w:val="000000"/>
                <w:sz w:val="16"/>
                <w:u w:val="none"/>
                <w:vertAlign w:val="baseline"/>
              </w:rPr>
              <w:t>-</w:t>
            </w:r>
            <w:bookmarkStart w:id="669" w:name="XBRL_CE_640c7a32758e4bd3898004110458abba"/>
            <w:bookmarkEnd w:id="668"/>
            <w:bookmarkEnd w:id="669"/>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70" w:name="XBRL_CS_d68d2a5f8b8446fe91d7b3e9bf48a01d"/>
            <w:bookmarkEnd w:id="670"/>
            <w:bookmarkStart w:id="671" w:name="d68d2a5f8b8446fe91d7b3e9bf48a01d"/>
            <w:r>
              <w:rPr>
                <w:rFonts w:ascii="Arial Narrow" w:eastAsia="Arial Narrow" w:hAnsi="Arial Narrow" w:cs="Arial Narrow"/>
                <w:b w:val="0"/>
                <w:i w:val="0"/>
                <w:strike w:val="0"/>
                <w:color w:val="000000"/>
                <w:sz w:val="16"/>
                <w:u w:val="none"/>
                <w:vertAlign w:val="baseline"/>
              </w:rPr>
              <w:t>684,427</w:t>
            </w:r>
            <w:bookmarkStart w:id="672" w:name="XBRL_CE_d68d2a5f8b8446fe91d7b3e9bf48a01d"/>
            <w:bookmarkEnd w:id="671"/>
            <w:bookmarkEnd w:id="672"/>
          </w:p>
        </w:tc>
      </w:tr>
      <w:tr>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2775"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top"/>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citas izmaiņas pašu kapitālā</w:t>
            </w:r>
          </w:p>
        </w:tc>
        <w:tc>
          <w:tcPr>
            <w:tcW w:w="795"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73" w:name="XBRL_CS_d4c9a30f8aeb47388ceeb7f33c8fe46f"/>
            <w:bookmarkEnd w:id="673"/>
            <w:bookmarkStart w:id="674" w:name="d4c9a30f8aeb47388ceeb7f33c8fe46f"/>
            <w:r>
              <w:rPr>
                <w:rFonts w:ascii="Arial Narrow" w:eastAsia="Arial Narrow" w:hAnsi="Arial Narrow" w:cs="Arial Narrow"/>
                <w:b w:val="0"/>
                <w:i w:val="0"/>
                <w:strike w:val="0"/>
                <w:color w:val="000000"/>
                <w:sz w:val="16"/>
                <w:u w:val="none"/>
                <w:vertAlign w:val="baseline"/>
              </w:rPr>
              <w:t>-</w:t>
            </w:r>
            <w:bookmarkStart w:id="675" w:name="XBRL_CE_d4c9a30f8aeb47388ceeb7f33c8fe46f"/>
            <w:bookmarkEnd w:id="674"/>
            <w:bookmarkEnd w:id="675"/>
          </w:p>
        </w:tc>
        <w:tc>
          <w:tcPr>
            <w:tcW w:w="66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76" w:name="XBRL_CS_a5db1fc431c64358858c56c28f558f60"/>
            <w:bookmarkEnd w:id="676"/>
            <w:bookmarkStart w:id="677" w:name="a5db1fc431c64358858c56c28f558f60"/>
            <w:r>
              <w:rPr>
                <w:rFonts w:ascii="Arial Narrow" w:eastAsia="Arial Narrow" w:hAnsi="Arial Narrow" w:cs="Arial Narrow"/>
                <w:b w:val="0"/>
                <w:i w:val="0"/>
                <w:strike w:val="0"/>
                <w:color w:val="000000"/>
                <w:sz w:val="16"/>
                <w:u w:val="none"/>
                <w:vertAlign w:val="baseline"/>
              </w:rPr>
              <w:t>-</w:t>
            </w:r>
            <w:bookmarkStart w:id="678" w:name="XBRL_CE_a5db1fc431c64358858c56c28f558f60"/>
            <w:bookmarkEnd w:id="677"/>
            <w:bookmarkEnd w:id="678"/>
          </w:p>
        </w:tc>
        <w:tc>
          <w:tcPr>
            <w:tcW w:w="84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79" w:name="XBRL_CS_5df4f31e3c17450da4dd7b831b447cc4"/>
            <w:bookmarkEnd w:id="679"/>
            <w:bookmarkStart w:id="680" w:name="5df4f31e3c17450da4dd7b831b447cc4"/>
            <w:r>
              <w:rPr>
                <w:rFonts w:ascii="Arial Narrow" w:eastAsia="Arial Narrow" w:hAnsi="Arial Narrow" w:cs="Arial Narrow"/>
                <w:b w:val="0"/>
                <w:i w:val="0"/>
                <w:strike w:val="0"/>
                <w:color w:val="000000"/>
                <w:sz w:val="16"/>
                <w:u w:val="none"/>
                <w:vertAlign w:val="baseline"/>
              </w:rPr>
              <w:t>-</w:t>
            </w:r>
            <w:bookmarkStart w:id="681" w:name="XBRL_CE_5df4f31e3c17450da4dd7b831b447cc4"/>
            <w:bookmarkEnd w:id="680"/>
            <w:bookmarkEnd w:id="681"/>
          </w:p>
        </w:tc>
        <w:tc>
          <w:tcPr>
            <w:tcW w:w="825"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82" w:name="XBRL_CS_675e517bc8eb4b6eb3ef83e3c9bc2e23"/>
            <w:bookmarkEnd w:id="682"/>
            <w:bookmarkStart w:id="683" w:name="675e517bc8eb4b6eb3ef83e3c9bc2e23"/>
            <w:r>
              <w:rPr>
                <w:rFonts w:ascii="Arial Narrow" w:eastAsia="Arial Narrow" w:hAnsi="Arial Narrow" w:cs="Arial Narrow"/>
                <w:b w:val="0"/>
                <w:i w:val="0"/>
                <w:strike w:val="0"/>
                <w:color w:val="000000"/>
                <w:sz w:val="16"/>
                <w:u w:val="none"/>
                <w:vertAlign w:val="baseline"/>
              </w:rPr>
              <w:t>684,427</w:t>
            </w:r>
            <w:bookmarkStart w:id="684" w:name="XBRL_CE_675e517bc8eb4b6eb3ef83e3c9bc2e23"/>
            <w:bookmarkEnd w:id="683"/>
            <w:bookmarkEnd w:id="684"/>
          </w:p>
        </w:tc>
        <w:tc>
          <w:tcPr>
            <w:tcW w:w="90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85" w:name="XBRL_CS_b7ef237755854277bb3ce1efed612201"/>
            <w:bookmarkEnd w:id="685"/>
            <w:bookmarkStart w:id="686" w:name="b7ef237755854277bb3ce1efed612201"/>
            <w:r>
              <w:rPr>
                <w:rFonts w:ascii="Arial Narrow" w:eastAsia="Arial Narrow" w:hAnsi="Arial Narrow" w:cs="Arial Narrow"/>
                <w:b w:val="0"/>
                <w:i w:val="0"/>
                <w:strike w:val="0"/>
                <w:color w:val="000000"/>
                <w:sz w:val="16"/>
                <w:u w:val="none"/>
                <w:vertAlign w:val="baseline"/>
              </w:rPr>
              <w:t>-</w:t>
            </w:r>
            <w:bookmarkStart w:id="687" w:name="XBRL_CE_b7ef237755854277bb3ce1efed612201"/>
            <w:bookmarkEnd w:id="686"/>
            <w:bookmarkEnd w:id="687"/>
          </w:p>
        </w:tc>
        <w:tc>
          <w:tcPr>
            <w:tcW w:w="1035"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88" w:name="XBRL_CS_c2d9fd1133fa4ad18f64dd2211a92e13"/>
            <w:bookmarkEnd w:id="688"/>
            <w:bookmarkStart w:id="689" w:name="c2d9fd1133fa4ad18f64dd2211a92e13"/>
            <w:r>
              <w:rPr>
                <w:rFonts w:ascii="Arial Narrow" w:eastAsia="Arial Narrow" w:hAnsi="Arial Narrow" w:cs="Arial Narrow"/>
                <w:b w:val="0"/>
                <w:i w:val="0"/>
                <w:strike w:val="0"/>
                <w:color w:val="000000"/>
                <w:sz w:val="16"/>
                <w:u w:val="none"/>
                <w:vertAlign w:val="baseline"/>
              </w:rPr>
              <w:t>684,427</w:t>
            </w:r>
            <w:bookmarkStart w:id="690" w:name="XBRL_CE_c2d9fd1133fa4ad18f64dd2211a92e13"/>
            <w:bookmarkEnd w:id="689"/>
            <w:bookmarkEnd w:id="690"/>
          </w:p>
        </w:tc>
        <w:tc>
          <w:tcPr>
            <w:tcW w:w="90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91" w:name="XBRL_CS_ccdaae2312eb4f9ea6e7203439363587"/>
            <w:bookmarkEnd w:id="691"/>
            <w:bookmarkStart w:id="692" w:name="ccdaae2312eb4f9ea6e7203439363587"/>
            <w:r>
              <w:rPr>
                <w:rFonts w:ascii="Arial Narrow" w:eastAsia="Arial Narrow" w:hAnsi="Arial Narrow" w:cs="Arial Narrow"/>
                <w:b w:val="0"/>
                <w:i w:val="0"/>
                <w:strike w:val="0"/>
                <w:color w:val="000000"/>
                <w:sz w:val="16"/>
                <w:u w:val="none"/>
                <w:vertAlign w:val="baseline"/>
              </w:rPr>
              <w:t>-</w:t>
            </w:r>
            <w:bookmarkStart w:id="693" w:name="XBRL_CE_ccdaae2312eb4f9ea6e7203439363587"/>
            <w:bookmarkEnd w:id="692"/>
            <w:bookmarkEnd w:id="693"/>
          </w:p>
        </w:tc>
        <w:tc>
          <w:tcPr>
            <w:tcW w:w="90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694" w:name="XBRL_CS_82d8a38c2dc9468bb7eedbf70cc892ec"/>
            <w:bookmarkEnd w:id="694"/>
            <w:bookmarkStart w:id="695" w:name="82d8a38c2dc9468bb7eedbf70cc892ec"/>
            <w:r>
              <w:rPr>
                <w:rFonts w:ascii="Arial Narrow" w:eastAsia="Arial Narrow" w:hAnsi="Arial Narrow" w:cs="Arial Narrow"/>
                <w:b w:val="0"/>
                <w:i w:val="0"/>
                <w:strike w:val="0"/>
                <w:color w:val="000000"/>
                <w:sz w:val="16"/>
                <w:u w:val="none"/>
                <w:vertAlign w:val="baseline"/>
              </w:rPr>
              <w:t>684,427</w:t>
            </w:r>
            <w:bookmarkStart w:id="696" w:name="XBRL_CE_82d8a38c2dc9468bb7eedbf70cc892ec"/>
            <w:bookmarkEnd w:id="695"/>
            <w:bookmarkEnd w:id="696"/>
          </w:p>
        </w:tc>
      </w:tr>
      <w:tr>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2775"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top"/>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Atlikums 31.12.2020.</w:t>
            </w:r>
          </w:p>
        </w:tc>
        <w:tc>
          <w:tcPr>
            <w:tcW w:w="795"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697" w:name="XBRL_CS_69c808a5578f4e99991a3ffa9fc3d4d8"/>
            <w:bookmarkEnd w:id="697"/>
            <w:bookmarkStart w:id="698" w:name="69c808a5578f4e99991a3ffa9fc3d4d8"/>
            <w:r>
              <w:rPr>
                <w:rFonts w:ascii="Arial Narrow" w:eastAsia="Arial Narrow" w:hAnsi="Arial Narrow" w:cs="Arial Narrow"/>
                <w:b/>
                <w:i w:val="0"/>
                <w:strike w:val="0"/>
                <w:color w:val="000000"/>
                <w:sz w:val="16"/>
                <w:u w:val="none"/>
                <w:vertAlign w:val="baseline"/>
              </w:rPr>
              <w:t>5,000,000</w:t>
            </w:r>
            <w:bookmarkStart w:id="699" w:name="XBRL_CE_69c808a5578f4e99991a3ffa9fc3d4d8"/>
            <w:bookmarkEnd w:id="698"/>
            <w:bookmarkEnd w:id="699"/>
          </w:p>
        </w:tc>
        <w:tc>
          <w:tcPr>
            <w:tcW w:w="66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700" w:name="XBRL_CS_bd327b7d328f4c6295a63dfb3732f151"/>
            <w:bookmarkEnd w:id="700"/>
            <w:bookmarkStart w:id="701" w:name="bd327b7d328f4c6295a63dfb3732f151"/>
            <w:r>
              <w:rPr>
                <w:rFonts w:ascii="Arial Narrow" w:eastAsia="Arial Narrow" w:hAnsi="Arial Narrow" w:cs="Arial Narrow"/>
                <w:b/>
                <w:i w:val="0"/>
                <w:strike w:val="0"/>
                <w:color w:val="000000"/>
                <w:sz w:val="16"/>
                <w:u w:val="none"/>
                <w:vertAlign w:val="baseline"/>
              </w:rPr>
              <w:t>(23,511)</w:t>
            </w:r>
            <w:bookmarkStart w:id="702" w:name="XBRL_CE_bd327b7d328f4c6295a63dfb3732f151"/>
            <w:bookmarkEnd w:id="701"/>
            <w:bookmarkEnd w:id="702"/>
          </w:p>
        </w:tc>
        <w:tc>
          <w:tcPr>
            <w:tcW w:w="84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703" w:name="XBRL_CS_b149412b0bb949c38ab68b5c47b62787"/>
            <w:bookmarkEnd w:id="703"/>
            <w:bookmarkStart w:id="704" w:name="b149412b0bb949c38ab68b5c47b62787"/>
            <w:r>
              <w:rPr>
                <w:rFonts w:ascii="Arial Narrow" w:eastAsia="Arial Narrow" w:hAnsi="Arial Narrow" w:cs="Arial Narrow"/>
                <w:b/>
                <w:i w:val="0"/>
                <w:strike w:val="0"/>
                <w:color w:val="000000"/>
                <w:sz w:val="16"/>
                <w:u w:val="none"/>
                <w:vertAlign w:val="baseline"/>
              </w:rPr>
              <w:t>1</w:t>
            </w:r>
            <w:bookmarkStart w:id="705" w:name="XBRL_CE_b149412b0bb949c38ab68b5c47b62787"/>
            <w:bookmarkEnd w:id="704"/>
            <w:bookmarkEnd w:id="705"/>
          </w:p>
        </w:tc>
        <w:tc>
          <w:tcPr>
            <w:tcW w:w="825"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706" w:name="XBRL_CS_0ead5b299f4e4cbc8ca48906eef24368"/>
            <w:bookmarkEnd w:id="706"/>
            <w:bookmarkStart w:id="707" w:name="0ead5b299f4e4cbc8ca48906eef24368"/>
            <w:r>
              <w:rPr>
                <w:rFonts w:ascii="Arial Narrow" w:eastAsia="Arial Narrow" w:hAnsi="Arial Narrow" w:cs="Arial Narrow"/>
                <w:b/>
                <w:i w:val="0"/>
                <w:strike w:val="0"/>
                <w:color w:val="000000"/>
                <w:sz w:val="16"/>
                <w:u w:val="none"/>
                <w:vertAlign w:val="baseline"/>
              </w:rPr>
              <w:t>(4,085,406)</w:t>
            </w:r>
            <w:bookmarkStart w:id="708" w:name="XBRL_CE_0ead5b299f4e4cbc8ca48906eef24368"/>
            <w:bookmarkEnd w:id="707"/>
            <w:bookmarkEnd w:id="708"/>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709" w:name="XBRL_CS_7b60a631bd0c4980a5431eea6a9f87bc"/>
            <w:bookmarkEnd w:id="709"/>
            <w:bookmarkStart w:id="710" w:name="7b60a631bd0c4980a5431eea6a9f87bc"/>
            <w:r>
              <w:rPr>
                <w:rFonts w:ascii="Arial Narrow" w:eastAsia="Arial Narrow" w:hAnsi="Arial Narrow" w:cs="Arial Narrow"/>
                <w:b/>
                <w:i w:val="0"/>
                <w:strike w:val="0"/>
                <w:color w:val="000000"/>
                <w:sz w:val="16"/>
                <w:u w:val="none"/>
                <w:vertAlign w:val="baseline"/>
              </w:rPr>
              <w:t>13,095,232</w:t>
            </w:r>
            <w:bookmarkStart w:id="711" w:name="XBRL_CE_7b60a631bd0c4980a5431eea6a9f87bc"/>
            <w:bookmarkEnd w:id="710"/>
            <w:bookmarkEnd w:id="711"/>
          </w:p>
        </w:tc>
        <w:tc>
          <w:tcPr>
            <w:tcW w:w="1035"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712" w:name="XBRL_CS_e08fbfa624e146e686494bc915a8b0da"/>
            <w:bookmarkEnd w:id="712"/>
            <w:bookmarkStart w:id="713" w:name="e08fbfa624e146e686494bc915a8b0da"/>
            <w:r>
              <w:rPr>
                <w:rFonts w:ascii="Arial Narrow" w:eastAsia="Arial Narrow" w:hAnsi="Arial Narrow" w:cs="Arial Narrow"/>
                <w:b/>
                <w:i w:val="0"/>
                <w:strike w:val="0"/>
                <w:color w:val="000000"/>
                <w:sz w:val="16"/>
                <w:u w:val="none"/>
                <w:vertAlign w:val="baseline"/>
              </w:rPr>
              <w:t>13,986,316</w:t>
            </w:r>
            <w:bookmarkStart w:id="714" w:name="XBRL_CE_e08fbfa624e146e686494bc915a8b0da"/>
            <w:bookmarkEnd w:id="713"/>
            <w:bookmarkEnd w:id="714"/>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715" w:name="XBRL_CS_4517a9254fd448c89a7264ace5cb1504"/>
            <w:bookmarkEnd w:id="715"/>
            <w:bookmarkStart w:id="716" w:name="4517a9254fd448c89a7264ace5cb1504"/>
            <w:r>
              <w:rPr>
                <w:rFonts w:ascii="Arial Narrow" w:eastAsia="Arial Narrow" w:hAnsi="Arial Narrow" w:cs="Arial Narrow"/>
                <w:b/>
                <w:i w:val="0"/>
                <w:strike w:val="0"/>
                <w:color w:val="000000"/>
                <w:sz w:val="16"/>
                <w:u w:val="none"/>
                <w:vertAlign w:val="baseline"/>
              </w:rPr>
              <w:t>271,481</w:t>
            </w:r>
            <w:bookmarkStart w:id="717" w:name="XBRL_CE_4517a9254fd448c89a7264ace5cb1504"/>
            <w:bookmarkEnd w:id="716"/>
            <w:bookmarkEnd w:id="717"/>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718" w:name="XBRL_CS_36cbfb82e1324065ab8710935b7152ba"/>
            <w:bookmarkEnd w:id="718"/>
            <w:bookmarkStart w:id="719" w:name="36cbfb82e1324065ab8710935b7152ba"/>
            <w:r>
              <w:rPr>
                <w:rFonts w:ascii="Arial Narrow" w:eastAsia="Arial Narrow" w:hAnsi="Arial Narrow" w:cs="Arial Narrow"/>
                <w:b/>
                <w:i w:val="0"/>
                <w:strike w:val="0"/>
                <w:color w:val="000000"/>
                <w:sz w:val="16"/>
                <w:u w:val="none"/>
                <w:vertAlign w:val="baseline"/>
              </w:rPr>
              <w:t>14,257,797</w:t>
            </w:r>
            <w:bookmarkStart w:id="720" w:name="XBRL_CE_36cbfb82e1324065ab8710935b7152ba"/>
            <w:bookmarkEnd w:id="719"/>
            <w:bookmarkEnd w:id="720"/>
          </w:p>
        </w:tc>
      </w:tr>
      <w:tr>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163"/>
        </w:trPr>
        <w:tc>
          <w:tcPr>
            <w:tcW w:w="2775" w:type="dxa"/>
            <w:tcBorders>
              <w:top w:val="nil"/>
              <w:left w:val="nil"/>
              <w:bottom w:val="nil"/>
              <w:right w:val="nil"/>
              <w:tl2br w:val="nil"/>
              <w:tr2bl w:val="nil"/>
            </w:tcBorders>
            <w:shd w:val="clear" w:color="auto" w:fill="auto"/>
            <w:noWrap w:val="0"/>
            <w:tcMar>
              <w:left w:w="0" w:type="dxa"/>
              <w:right w:w="0" w:type="dxa"/>
            </w:tcMar>
            <w:textDirection w:val="lrTb"/>
            <w:tcFitText w:val="0"/>
            <w:vAlign w:val="top"/>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795" w:type="dxa"/>
            <w:tcBorders>
              <w:top w:val="nil"/>
              <w:left w:val="nil"/>
              <w:bottom w:val="nil"/>
              <w:right w:val="nil"/>
              <w:tl2br w:val="nil"/>
              <w:tr2bl w:val="nil"/>
            </w:tcBorders>
            <w:shd w:val="clear" w:color="auto" w:fill="auto"/>
            <w:noWrap/>
            <w:tcMar>
              <w:left w:w="0" w:type="dxa"/>
              <w:right w:w="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660" w:type="dxa"/>
            <w:tcBorders>
              <w:top w:val="nil"/>
              <w:left w:val="nil"/>
              <w:bottom w:val="nil"/>
              <w:right w:val="nil"/>
              <w:tl2br w:val="nil"/>
              <w:tr2bl w:val="nil"/>
            </w:tcBorders>
            <w:shd w:val="clear" w:color="auto" w:fill="auto"/>
            <w:noWrap/>
            <w:tcMar>
              <w:left w:w="0" w:type="dxa"/>
              <w:right w:w="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40" w:type="dxa"/>
            <w:tcBorders>
              <w:top w:val="nil"/>
              <w:left w:val="nil"/>
              <w:bottom w:val="nil"/>
              <w:right w:val="nil"/>
              <w:tl2br w:val="nil"/>
              <w:tr2bl w:val="nil"/>
            </w:tcBorders>
            <w:shd w:val="clear" w:color="auto" w:fill="auto"/>
            <w:noWrap/>
            <w:tcMar>
              <w:left w:w="0" w:type="dxa"/>
              <w:right w:w="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25" w:type="dxa"/>
            <w:tcBorders>
              <w:top w:val="nil"/>
              <w:left w:val="nil"/>
              <w:bottom w:val="nil"/>
              <w:right w:val="nil"/>
              <w:tl2br w:val="nil"/>
              <w:tr2bl w:val="nil"/>
            </w:tcBorders>
            <w:shd w:val="clear" w:color="auto" w:fill="auto"/>
            <w:noWrap/>
            <w:tcMar>
              <w:left w:w="0" w:type="dxa"/>
              <w:right w:w="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35" w:type="dxa"/>
            <w:tcBorders>
              <w:top w:val="nil"/>
              <w:left w:val="nil"/>
              <w:bottom w:val="nil"/>
              <w:right w:val="nil"/>
              <w:tl2br w:val="nil"/>
              <w:tr2bl w:val="nil"/>
            </w:tcBorders>
            <w:shd w:val="clear" w:color="auto" w:fill="auto"/>
            <w:noWrap/>
            <w:tcMar>
              <w:left w:w="0" w:type="dxa"/>
              <w:right w:w="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163"/>
        </w:trPr>
        <w:tc>
          <w:tcPr>
            <w:tcW w:w="2775" w:type="dxa"/>
            <w:tcBorders>
              <w:top w:val="nil"/>
              <w:left w:val="nil"/>
              <w:bottom w:val="nil"/>
              <w:right w:val="nil"/>
              <w:tl2br w:val="nil"/>
              <w:tr2bl w:val="nil"/>
            </w:tcBorders>
            <w:shd w:val="clear" w:color="auto" w:fill="auto"/>
            <w:noWrap w:val="0"/>
            <w:tcMar>
              <w:left w:w="0" w:type="dxa"/>
              <w:right w:w="0" w:type="dxa"/>
            </w:tcMar>
            <w:textDirection w:val="lrTb"/>
            <w:tcFitText w:val="0"/>
            <w:vAlign w:val="top"/>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795" w:type="dxa"/>
            <w:tcBorders>
              <w:top w:val="nil"/>
              <w:left w:val="nil"/>
              <w:bottom w:val="nil"/>
              <w:right w:val="nil"/>
              <w:tl2br w:val="nil"/>
              <w:tr2bl w:val="nil"/>
            </w:tcBorders>
            <w:shd w:val="clear" w:color="auto" w:fill="auto"/>
            <w:noWrap/>
            <w:tcMar>
              <w:left w:w="0" w:type="dxa"/>
              <w:right w:w="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660" w:type="dxa"/>
            <w:tcBorders>
              <w:top w:val="nil"/>
              <w:left w:val="nil"/>
              <w:bottom w:val="nil"/>
              <w:right w:val="nil"/>
              <w:tl2br w:val="nil"/>
              <w:tr2bl w:val="nil"/>
            </w:tcBorders>
            <w:shd w:val="clear" w:color="auto" w:fill="auto"/>
            <w:noWrap/>
            <w:tcMar>
              <w:left w:w="0" w:type="dxa"/>
              <w:right w:w="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40" w:type="dxa"/>
            <w:tcBorders>
              <w:top w:val="nil"/>
              <w:left w:val="nil"/>
              <w:bottom w:val="nil"/>
              <w:right w:val="nil"/>
              <w:tl2br w:val="nil"/>
              <w:tr2bl w:val="nil"/>
            </w:tcBorders>
            <w:shd w:val="clear" w:color="auto" w:fill="auto"/>
            <w:noWrap/>
            <w:tcMar>
              <w:left w:w="0" w:type="dxa"/>
              <w:right w:w="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25" w:type="dxa"/>
            <w:tcBorders>
              <w:top w:val="nil"/>
              <w:left w:val="nil"/>
              <w:bottom w:val="nil"/>
              <w:right w:val="nil"/>
              <w:tl2br w:val="nil"/>
              <w:tr2bl w:val="nil"/>
            </w:tcBorders>
            <w:shd w:val="clear" w:color="auto" w:fill="auto"/>
            <w:noWrap/>
            <w:tcMar>
              <w:left w:w="0" w:type="dxa"/>
              <w:right w:w="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35" w:type="dxa"/>
            <w:tcBorders>
              <w:top w:val="nil"/>
              <w:left w:val="nil"/>
              <w:bottom w:val="nil"/>
              <w:right w:val="nil"/>
              <w:tl2br w:val="nil"/>
              <w:tr2bl w:val="nil"/>
            </w:tcBorders>
            <w:shd w:val="clear" w:color="auto" w:fill="auto"/>
            <w:noWrap/>
            <w:tcMar>
              <w:left w:w="0" w:type="dxa"/>
              <w:right w:w="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2775"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top"/>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Atlikums 01.01.2021.</w:t>
            </w:r>
          </w:p>
        </w:tc>
        <w:tc>
          <w:tcPr>
            <w:tcW w:w="795"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721" w:name="XBRL_CS_a68b7564a5124c82a5fb5859935cc1bd"/>
            <w:bookmarkEnd w:id="721"/>
            <w:bookmarkStart w:id="722" w:name="a68b7564a5124c82a5fb5859935cc1bd"/>
            <w:r>
              <w:rPr>
                <w:rFonts w:ascii="Arial Narrow" w:eastAsia="Arial Narrow" w:hAnsi="Arial Narrow" w:cs="Arial Narrow"/>
                <w:b/>
                <w:i w:val="0"/>
                <w:strike w:val="0"/>
                <w:color w:val="000000"/>
                <w:sz w:val="16"/>
                <w:u w:val="none"/>
                <w:vertAlign w:val="baseline"/>
              </w:rPr>
              <w:t>5,000,000</w:t>
            </w:r>
            <w:bookmarkStart w:id="723" w:name="XBRL_CE_a68b7564a5124c82a5fb5859935cc1bd"/>
            <w:bookmarkEnd w:id="722"/>
            <w:bookmarkEnd w:id="723"/>
          </w:p>
        </w:tc>
        <w:tc>
          <w:tcPr>
            <w:tcW w:w="66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724" w:name="XBRL_CS_ddb286e73302473c89d4396ac2f80e0d"/>
            <w:bookmarkEnd w:id="724"/>
            <w:bookmarkStart w:id="725" w:name="ddb286e73302473c89d4396ac2f80e0d"/>
            <w:r>
              <w:rPr>
                <w:rFonts w:ascii="Arial Narrow" w:eastAsia="Arial Narrow" w:hAnsi="Arial Narrow" w:cs="Arial Narrow"/>
                <w:b/>
                <w:i w:val="0"/>
                <w:strike w:val="0"/>
                <w:color w:val="000000"/>
                <w:sz w:val="16"/>
                <w:u w:val="none"/>
                <w:vertAlign w:val="baseline"/>
              </w:rPr>
              <w:t>(23,511)</w:t>
            </w:r>
            <w:bookmarkStart w:id="726" w:name="XBRL_CE_ddb286e73302473c89d4396ac2f80e0d"/>
            <w:bookmarkEnd w:id="725"/>
            <w:bookmarkEnd w:id="726"/>
          </w:p>
        </w:tc>
        <w:tc>
          <w:tcPr>
            <w:tcW w:w="84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727" w:name="XBRL_CS_564876a7ddca4d90aa1a33a6d4bfee7f"/>
            <w:bookmarkEnd w:id="727"/>
            <w:bookmarkStart w:id="728" w:name="564876a7ddca4d90aa1a33a6d4bfee7f"/>
            <w:r>
              <w:rPr>
                <w:rFonts w:ascii="Arial Narrow" w:eastAsia="Arial Narrow" w:hAnsi="Arial Narrow" w:cs="Arial Narrow"/>
                <w:b/>
                <w:i w:val="0"/>
                <w:strike w:val="0"/>
                <w:color w:val="000000"/>
                <w:sz w:val="16"/>
                <w:u w:val="none"/>
                <w:vertAlign w:val="baseline"/>
              </w:rPr>
              <w:t>1</w:t>
            </w:r>
            <w:bookmarkStart w:id="729" w:name="XBRL_CE_564876a7ddca4d90aa1a33a6d4bfee7f"/>
            <w:bookmarkEnd w:id="728"/>
            <w:bookmarkEnd w:id="729"/>
          </w:p>
        </w:tc>
        <w:tc>
          <w:tcPr>
            <w:tcW w:w="825"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730" w:name="XBRL_CS_d40c7a0e71a046d893541979bd8e136c"/>
            <w:bookmarkEnd w:id="730"/>
            <w:bookmarkStart w:id="731" w:name="d40c7a0e71a046d893541979bd8e136c"/>
            <w:r>
              <w:rPr>
                <w:rFonts w:ascii="Arial Narrow" w:eastAsia="Arial Narrow" w:hAnsi="Arial Narrow" w:cs="Arial Narrow"/>
                <w:b/>
                <w:i w:val="0"/>
                <w:strike w:val="0"/>
                <w:color w:val="000000"/>
                <w:sz w:val="16"/>
                <w:u w:val="none"/>
                <w:vertAlign w:val="baseline"/>
              </w:rPr>
              <w:t>(4,085,406)</w:t>
            </w:r>
            <w:bookmarkStart w:id="732" w:name="XBRL_CE_d40c7a0e71a046d893541979bd8e136c"/>
            <w:bookmarkEnd w:id="731"/>
            <w:bookmarkEnd w:id="732"/>
          </w:p>
        </w:tc>
        <w:tc>
          <w:tcPr>
            <w:tcW w:w="90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733" w:name="XBRL_CS_b6d638fc04fc4fa3880936bcb3bb3435"/>
            <w:bookmarkEnd w:id="733"/>
            <w:bookmarkStart w:id="734" w:name="b6d638fc04fc4fa3880936bcb3bb3435"/>
            <w:r>
              <w:rPr>
                <w:rFonts w:ascii="Arial Narrow" w:eastAsia="Arial Narrow" w:hAnsi="Arial Narrow" w:cs="Arial Narrow"/>
                <w:b/>
                <w:i w:val="0"/>
                <w:strike w:val="0"/>
                <w:color w:val="000000"/>
                <w:sz w:val="16"/>
                <w:u w:val="none"/>
                <w:vertAlign w:val="baseline"/>
              </w:rPr>
              <w:t>13,095,232</w:t>
            </w:r>
            <w:bookmarkStart w:id="735" w:name="XBRL_CE_b6d638fc04fc4fa3880936bcb3bb3435"/>
            <w:bookmarkEnd w:id="734"/>
            <w:bookmarkEnd w:id="735"/>
          </w:p>
        </w:tc>
        <w:tc>
          <w:tcPr>
            <w:tcW w:w="1035"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736" w:name="XBRL_CS_02a0f59258cf44699631b88cb286d75a"/>
            <w:bookmarkEnd w:id="736"/>
            <w:bookmarkStart w:id="737" w:name="02a0f59258cf44699631b88cb286d75a"/>
            <w:r>
              <w:rPr>
                <w:rFonts w:ascii="Arial Narrow" w:eastAsia="Arial Narrow" w:hAnsi="Arial Narrow" w:cs="Arial Narrow"/>
                <w:b/>
                <w:i w:val="0"/>
                <w:strike w:val="0"/>
                <w:color w:val="000000"/>
                <w:sz w:val="16"/>
                <w:u w:val="none"/>
                <w:vertAlign w:val="baseline"/>
              </w:rPr>
              <w:t>13,986,316</w:t>
            </w:r>
            <w:bookmarkStart w:id="738" w:name="XBRL_CE_02a0f59258cf44699631b88cb286d75a"/>
            <w:bookmarkEnd w:id="737"/>
            <w:bookmarkEnd w:id="738"/>
          </w:p>
        </w:tc>
        <w:tc>
          <w:tcPr>
            <w:tcW w:w="90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739" w:name="XBRL_CS_8006406cb78f46d48cf8c4eafcfb2923"/>
            <w:bookmarkEnd w:id="739"/>
            <w:bookmarkStart w:id="740" w:name="8006406cb78f46d48cf8c4eafcfb2923"/>
            <w:r>
              <w:rPr>
                <w:rFonts w:ascii="Arial Narrow" w:eastAsia="Arial Narrow" w:hAnsi="Arial Narrow" w:cs="Arial Narrow"/>
                <w:b/>
                <w:i w:val="0"/>
                <w:strike w:val="0"/>
                <w:color w:val="000000"/>
                <w:sz w:val="16"/>
                <w:u w:val="none"/>
                <w:vertAlign w:val="baseline"/>
              </w:rPr>
              <w:t>271,481</w:t>
            </w:r>
            <w:bookmarkStart w:id="741" w:name="XBRL_CE_8006406cb78f46d48cf8c4eafcfb2923"/>
            <w:bookmarkEnd w:id="740"/>
            <w:bookmarkEnd w:id="741"/>
          </w:p>
        </w:tc>
        <w:tc>
          <w:tcPr>
            <w:tcW w:w="90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742" w:name="XBRL_CS_42763945ae6e41f0a8118ee099a03f4c"/>
            <w:bookmarkEnd w:id="742"/>
            <w:bookmarkStart w:id="743" w:name="42763945ae6e41f0a8118ee099a03f4c"/>
            <w:r>
              <w:rPr>
                <w:rFonts w:ascii="Arial Narrow" w:eastAsia="Arial Narrow" w:hAnsi="Arial Narrow" w:cs="Arial Narrow"/>
                <w:b/>
                <w:i w:val="0"/>
                <w:strike w:val="0"/>
                <w:color w:val="000000"/>
                <w:sz w:val="16"/>
                <w:u w:val="none"/>
                <w:vertAlign w:val="baseline"/>
              </w:rPr>
              <w:t>14,257,797</w:t>
            </w:r>
            <w:bookmarkStart w:id="744" w:name="XBRL_CE_42763945ae6e41f0a8118ee099a03f4c"/>
            <w:bookmarkEnd w:id="743"/>
            <w:bookmarkEnd w:id="744"/>
          </w:p>
        </w:tc>
      </w:tr>
      <w:tr>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2775"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top"/>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Pārskata gada peļņa</w:t>
            </w:r>
          </w:p>
        </w:tc>
        <w:tc>
          <w:tcPr>
            <w:tcW w:w="795"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745" w:name="XBRL_CS_ae298dc92f7c4c66b35348d1ca946f09"/>
            <w:bookmarkEnd w:id="745"/>
            <w:bookmarkStart w:id="746" w:name="ae298dc92f7c4c66b35348d1ca946f09"/>
            <w:r>
              <w:rPr>
                <w:rFonts w:ascii="Arial Narrow" w:eastAsia="Arial Narrow" w:hAnsi="Arial Narrow" w:cs="Arial Narrow"/>
                <w:b w:val="0"/>
                <w:i w:val="0"/>
                <w:strike w:val="0"/>
                <w:color w:val="000000"/>
                <w:sz w:val="16"/>
                <w:u w:val="none"/>
                <w:vertAlign w:val="baseline"/>
              </w:rPr>
              <w:t>-</w:t>
            </w:r>
            <w:bookmarkStart w:id="747" w:name="XBRL_CE_ae298dc92f7c4c66b35348d1ca946f09"/>
            <w:bookmarkEnd w:id="746"/>
            <w:bookmarkEnd w:id="747"/>
          </w:p>
        </w:tc>
        <w:tc>
          <w:tcPr>
            <w:tcW w:w="66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748" w:name="XBRL_CS_608245f06fda46b89f4e848e8f9a7aa5"/>
            <w:bookmarkEnd w:id="748"/>
            <w:bookmarkStart w:id="749" w:name="608245f06fda46b89f4e848e8f9a7aa5"/>
            <w:r>
              <w:rPr>
                <w:rFonts w:ascii="Arial Narrow" w:eastAsia="Arial Narrow" w:hAnsi="Arial Narrow" w:cs="Arial Narrow"/>
                <w:b w:val="0"/>
                <w:i w:val="0"/>
                <w:strike w:val="0"/>
                <w:color w:val="000000"/>
                <w:sz w:val="16"/>
                <w:u w:val="none"/>
                <w:vertAlign w:val="baseline"/>
              </w:rPr>
              <w:t>-</w:t>
            </w:r>
            <w:bookmarkStart w:id="750" w:name="XBRL_CE_608245f06fda46b89f4e848e8f9a7aa5"/>
            <w:bookmarkEnd w:id="749"/>
            <w:bookmarkEnd w:id="750"/>
          </w:p>
        </w:tc>
        <w:tc>
          <w:tcPr>
            <w:tcW w:w="84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751" w:name="XBRL_CS_7bb2e2112890400996f16dd85cd2d11e"/>
            <w:bookmarkEnd w:id="751"/>
            <w:bookmarkStart w:id="752" w:name="7bb2e2112890400996f16dd85cd2d11e"/>
            <w:r>
              <w:rPr>
                <w:rFonts w:ascii="Arial Narrow" w:eastAsia="Arial Narrow" w:hAnsi="Arial Narrow" w:cs="Arial Narrow"/>
                <w:b w:val="0"/>
                <w:i w:val="0"/>
                <w:strike w:val="0"/>
                <w:color w:val="000000"/>
                <w:sz w:val="16"/>
                <w:u w:val="none"/>
                <w:vertAlign w:val="baseline"/>
              </w:rPr>
              <w:t>-</w:t>
            </w:r>
            <w:bookmarkStart w:id="753" w:name="XBRL_CE_7bb2e2112890400996f16dd85cd2d11e"/>
            <w:bookmarkEnd w:id="752"/>
            <w:bookmarkEnd w:id="753"/>
          </w:p>
        </w:tc>
        <w:tc>
          <w:tcPr>
            <w:tcW w:w="825"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754" w:name="XBRL_CS_750de872551047a9b470561819137ffb"/>
            <w:bookmarkEnd w:id="754"/>
            <w:bookmarkStart w:id="755" w:name="750de872551047a9b470561819137ffb"/>
            <w:r>
              <w:rPr>
                <w:rFonts w:ascii="Arial Narrow" w:eastAsia="Arial Narrow" w:hAnsi="Arial Narrow" w:cs="Arial Narrow"/>
                <w:b w:val="0"/>
                <w:i w:val="0"/>
                <w:strike w:val="0"/>
                <w:color w:val="000000"/>
                <w:sz w:val="16"/>
                <w:u w:val="none"/>
                <w:vertAlign w:val="baseline"/>
              </w:rPr>
              <w:t>-</w:t>
            </w:r>
            <w:bookmarkStart w:id="756" w:name="XBRL_CE_750de872551047a9b470561819137ffb"/>
            <w:bookmarkEnd w:id="755"/>
            <w:bookmarkEnd w:id="756"/>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757" w:name="XBRL_CS_d9d36f3bc0c2474e95b5ca6d5e8b5d3f"/>
            <w:bookmarkEnd w:id="757"/>
            <w:bookmarkStart w:id="758" w:name="d9d36f3bc0c2474e95b5ca6d5e8b5d3f"/>
            <w:r>
              <w:rPr>
                <w:rFonts w:ascii="Arial Narrow" w:eastAsia="Arial Narrow" w:hAnsi="Arial Narrow" w:cs="Arial Narrow"/>
                <w:b w:val="0"/>
                <w:i w:val="0"/>
                <w:strike w:val="0"/>
                <w:color w:val="000000"/>
                <w:sz w:val="16"/>
                <w:u w:val="none"/>
                <w:vertAlign w:val="baseline"/>
              </w:rPr>
              <w:t>5,445,794</w:t>
            </w:r>
            <w:bookmarkStart w:id="759" w:name="XBRL_CE_d9d36f3bc0c2474e95b5ca6d5e8b5d3f"/>
            <w:bookmarkEnd w:id="758"/>
            <w:bookmarkEnd w:id="759"/>
          </w:p>
        </w:tc>
        <w:tc>
          <w:tcPr>
            <w:tcW w:w="1035"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760" w:name="XBRL_CS_67141367abb8422188bb39ad1c525b2a"/>
            <w:bookmarkEnd w:id="760"/>
            <w:bookmarkStart w:id="761" w:name="67141367abb8422188bb39ad1c525b2a"/>
            <w:r>
              <w:rPr>
                <w:rFonts w:ascii="Arial Narrow" w:eastAsia="Arial Narrow" w:hAnsi="Arial Narrow" w:cs="Arial Narrow"/>
                <w:b w:val="0"/>
                <w:i w:val="0"/>
                <w:strike w:val="0"/>
                <w:color w:val="000000"/>
                <w:sz w:val="16"/>
                <w:u w:val="none"/>
                <w:vertAlign w:val="baseline"/>
              </w:rPr>
              <w:t>5,445,794</w:t>
            </w:r>
            <w:bookmarkStart w:id="762" w:name="XBRL_CE_67141367abb8422188bb39ad1c525b2a"/>
            <w:bookmarkEnd w:id="761"/>
            <w:bookmarkEnd w:id="762"/>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763" w:name="XBRL_CS_b25419a1bdf14019989c77cd5196b772"/>
            <w:bookmarkEnd w:id="763"/>
            <w:bookmarkStart w:id="764" w:name="b25419a1bdf14019989c77cd5196b772"/>
            <w:r>
              <w:rPr>
                <w:rFonts w:ascii="Arial Narrow" w:eastAsia="Arial Narrow" w:hAnsi="Arial Narrow" w:cs="Arial Narrow"/>
                <w:b w:val="0"/>
                <w:i w:val="0"/>
                <w:strike w:val="0"/>
                <w:color w:val="000000"/>
                <w:sz w:val="16"/>
                <w:u w:val="none"/>
                <w:vertAlign w:val="baseline"/>
              </w:rPr>
              <w:t>111,139</w:t>
            </w:r>
            <w:bookmarkStart w:id="765" w:name="XBRL_CE_b25419a1bdf14019989c77cd5196b772"/>
            <w:bookmarkEnd w:id="764"/>
            <w:bookmarkEnd w:id="765"/>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766" w:name="XBRL_CS_e32489f039e346c9aacb7992158fa170"/>
            <w:bookmarkEnd w:id="766"/>
            <w:bookmarkStart w:id="767" w:name="e32489f039e346c9aacb7992158fa170"/>
            <w:r>
              <w:rPr>
                <w:rFonts w:ascii="Arial Narrow" w:eastAsia="Arial Narrow" w:hAnsi="Arial Narrow" w:cs="Arial Narrow"/>
                <w:b w:val="0"/>
                <w:i w:val="0"/>
                <w:strike w:val="0"/>
                <w:color w:val="000000"/>
                <w:sz w:val="16"/>
                <w:u w:val="none"/>
                <w:vertAlign w:val="baseline"/>
              </w:rPr>
              <w:t>5,556,933</w:t>
            </w:r>
            <w:bookmarkStart w:id="768" w:name="XBRL_CE_e32489f039e346c9aacb7992158fa170"/>
            <w:bookmarkEnd w:id="767"/>
            <w:bookmarkEnd w:id="768"/>
          </w:p>
        </w:tc>
      </w:tr>
      <w:tr>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2775" w:type="dxa"/>
            <w:tcBorders>
              <w:top w:val="nil"/>
              <w:left w:val="nil"/>
              <w:bottom w:val="nil"/>
              <w:right w:val="nil"/>
              <w:tl2br w:val="nil"/>
              <w:tr2bl w:val="nil"/>
            </w:tcBorders>
            <w:shd w:val="clear" w:color="auto" w:fill="auto"/>
            <w:noWrap w:val="0"/>
            <w:tcMar>
              <w:left w:w="40" w:type="dxa"/>
              <w:right w:w="40" w:type="dxa"/>
            </w:tcMar>
            <w:textDirection w:val="lrTb"/>
            <w:tcFitText w:val="0"/>
            <w:vAlign w:val="top"/>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Pārējie apvienotie ienākumi</w:t>
            </w:r>
          </w:p>
        </w:tc>
        <w:tc>
          <w:tcPr>
            <w:tcW w:w="795"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769" w:name="XBRL_CS_8e9a72cbbaf047a683f0614698245133"/>
            <w:bookmarkEnd w:id="769"/>
            <w:bookmarkStart w:id="770" w:name="8e9a72cbbaf047a683f0614698245133"/>
            <w:r>
              <w:rPr>
                <w:rFonts w:ascii="Arial Narrow" w:eastAsia="Arial Narrow" w:hAnsi="Arial Narrow" w:cs="Arial Narrow"/>
                <w:b w:val="0"/>
                <w:i w:val="0"/>
                <w:strike w:val="0"/>
                <w:color w:val="000000"/>
                <w:sz w:val="16"/>
                <w:u w:val="none"/>
                <w:vertAlign w:val="baseline"/>
              </w:rPr>
              <w:t>-</w:t>
            </w:r>
            <w:bookmarkStart w:id="771" w:name="XBRL_CE_8e9a72cbbaf047a683f0614698245133"/>
            <w:bookmarkEnd w:id="770"/>
            <w:bookmarkEnd w:id="771"/>
          </w:p>
        </w:tc>
        <w:tc>
          <w:tcPr>
            <w:tcW w:w="66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772" w:name="XBRL_CS_fb78dbf7aafe4176a83288e71697b963"/>
            <w:bookmarkEnd w:id="772"/>
            <w:bookmarkStart w:id="773" w:name="fb78dbf7aafe4176a83288e71697b963"/>
            <w:r>
              <w:rPr>
                <w:rFonts w:ascii="Arial Narrow" w:eastAsia="Arial Narrow" w:hAnsi="Arial Narrow" w:cs="Arial Narrow"/>
                <w:b w:val="0"/>
                <w:i w:val="0"/>
                <w:strike w:val="0"/>
                <w:color w:val="000000"/>
                <w:sz w:val="16"/>
                <w:u w:val="none"/>
                <w:vertAlign w:val="baseline"/>
              </w:rPr>
              <w:t>23,511</w:t>
            </w:r>
            <w:bookmarkStart w:id="774" w:name="XBRL_CE_fb78dbf7aafe4176a83288e71697b963"/>
            <w:bookmarkEnd w:id="773"/>
            <w:bookmarkEnd w:id="774"/>
          </w:p>
        </w:tc>
        <w:tc>
          <w:tcPr>
            <w:tcW w:w="84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775" w:name="XBRL_CS_faa3275e9368439f9d609d702a67e1f2"/>
            <w:bookmarkEnd w:id="775"/>
            <w:bookmarkStart w:id="776" w:name="faa3275e9368439f9d609d702a67e1f2"/>
            <w:r>
              <w:rPr>
                <w:rFonts w:ascii="Arial Narrow" w:eastAsia="Arial Narrow" w:hAnsi="Arial Narrow" w:cs="Arial Narrow"/>
                <w:b w:val="0"/>
                <w:i w:val="0"/>
                <w:strike w:val="0"/>
                <w:color w:val="000000"/>
                <w:sz w:val="16"/>
                <w:u w:val="none"/>
                <w:vertAlign w:val="baseline"/>
              </w:rPr>
              <w:t>-</w:t>
            </w:r>
            <w:bookmarkStart w:id="777" w:name="XBRL_CE_faa3275e9368439f9d609d702a67e1f2"/>
            <w:bookmarkEnd w:id="776"/>
            <w:bookmarkEnd w:id="777"/>
          </w:p>
        </w:tc>
        <w:tc>
          <w:tcPr>
            <w:tcW w:w="825"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778" w:name="XBRL_CS_b386f580ad1b4313a66f57a2afd3141f"/>
            <w:bookmarkEnd w:id="778"/>
            <w:bookmarkStart w:id="779" w:name="b386f580ad1b4313a66f57a2afd3141f"/>
            <w:r>
              <w:rPr>
                <w:rFonts w:ascii="Arial Narrow" w:eastAsia="Arial Narrow" w:hAnsi="Arial Narrow" w:cs="Arial Narrow"/>
                <w:b w:val="0"/>
                <w:i w:val="0"/>
                <w:strike w:val="0"/>
                <w:color w:val="000000"/>
                <w:sz w:val="16"/>
                <w:u w:val="none"/>
                <w:vertAlign w:val="baseline"/>
              </w:rPr>
              <w:t>-</w:t>
            </w:r>
            <w:bookmarkStart w:id="780" w:name="XBRL_CE_b386f580ad1b4313a66f57a2afd3141f"/>
            <w:bookmarkEnd w:id="779"/>
            <w:bookmarkEnd w:id="780"/>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781" w:name="XBRL_CS_9c3b97ee1a514224a696b1e4a7b9fcc7"/>
            <w:bookmarkEnd w:id="781"/>
            <w:bookmarkStart w:id="782" w:name="9c3b97ee1a514224a696b1e4a7b9fcc7"/>
            <w:r>
              <w:rPr>
                <w:rFonts w:ascii="Arial Narrow" w:eastAsia="Arial Narrow" w:hAnsi="Arial Narrow" w:cs="Arial Narrow"/>
                <w:b w:val="0"/>
                <w:i w:val="0"/>
                <w:strike w:val="0"/>
                <w:color w:val="000000"/>
                <w:sz w:val="16"/>
                <w:u w:val="none"/>
                <w:vertAlign w:val="baseline"/>
              </w:rPr>
              <w:t>-</w:t>
            </w:r>
            <w:bookmarkStart w:id="783" w:name="XBRL_CE_9c3b97ee1a514224a696b1e4a7b9fcc7"/>
            <w:bookmarkEnd w:id="782"/>
            <w:bookmarkEnd w:id="783"/>
          </w:p>
        </w:tc>
        <w:tc>
          <w:tcPr>
            <w:tcW w:w="1035"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784" w:name="XBRL_CS_c02e808bd85f48169a869a97c29290c4"/>
            <w:bookmarkEnd w:id="784"/>
            <w:bookmarkStart w:id="785" w:name="c02e808bd85f48169a869a97c29290c4"/>
            <w:r>
              <w:rPr>
                <w:rFonts w:ascii="Arial Narrow" w:eastAsia="Arial Narrow" w:hAnsi="Arial Narrow" w:cs="Arial Narrow"/>
                <w:b w:val="0"/>
                <w:i w:val="0"/>
                <w:strike w:val="0"/>
                <w:color w:val="000000"/>
                <w:sz w:val="16"/>
                <w:u w:val="none"/>
                <w:vertAlign w:val="baseline"/>
              </w:rPr>
              <w:t>23,511</w:t>
            </w:r>
            <w:bookmarkStart w:id="786" w:name="XBRL_CE_c02e808bd85f48169a869a97c29290c4"/>
            <w:bookmarkEnd w:id="785"/>
            <w:bookmarkEnd w:id="786"/>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787" w:name="XBRL_CS_bd54ae5ae83a46ae8ccfa632f7ddb608"/>
            <w:bookmarkEnd w:id="787"/>
            <w:bookmarkStart w:id="788" w:name="bd54ae5ae83a46ae8ccfa632f7ddb608"/>
            <w:r>
              <w:rPr>
                <w:rFonts w:ascii="Arial Narrow" w:eastAsia="Arial Narrow" w:hAnsi="Arial Narrow" w:cs="Arial Narrow"/>
                <w:b w:val="0"/>
                <w:i w:val="0"/>
                <w:strike w:val="0"/>
                <w:color w:val="000000"/>
                <w:sz w:val="16"/>
                <w:u w:val="none"/>
                <w:vertAlign w:val="baseline"/>
              </w:rPr>
              <w:t>480</w:t>
            </w:r>
            <w:bookmarkStart w:id="789" w:name="XBRL_CE_bd54ae5ae83a46ae8ccfa632f7ddb608"/>
            <w:bookmarkEnd w:id="788"/>
            <w:bookmarkEnd w:id="789"/>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790" w:name="XBRL_CS_02b7fb62029547fdaa5d7a4b84012f76"/>
            <w:bookmarkEnd w:id="790"/>
            <w:bookmarkStart w:id="791" w:name="02b7fb62029547fdaa5d7a4b84012f76"/>
            <w:r>
              <w:rPr>
                <w:rFonts w:ascii="Arial Narrow" w:eastAsia="Arial Narrow" w:hAnsi="Arial Narrow" w:cs="Arial Narrow"/>
                <w:b w:val="0"/>
                <w:i w:val="0"/>
                <w:strike w:val="0"/>
                <w:color w:val="000000"/>
                <w:sz w:val="16"/>
                <w:u w:val="none"/>
                <w:vertAlign w:val="baseline"/>
              </w:rPr>
              <w:t>23,991</w:t>
            </w:r>
            <w:bookmarkStart w:id="792" w:name="XBRL_CE_02b7fb62029547fdaa5d7a4b84012f76"/>
            <w:bookmarkEnd w:id="791"/>
            <w:bookmarkEnd w:id="792"/>
          </w:p>
        </w:tc>
      </w:tr>
      <w:tr>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3"/>
        </w:trPr>
        <w:tc>
          <w:tcPr>
            <w:tcW w:w="2775" w:type="dxa"/>
            <w:tcBorders>
              <w:top w:val="nil"/>
              <w:left w:val="nil"/>
              <w:bottom w:val="nil"/>
              <w:right w:val="nil"/>
              <w:tl2br w:val="nil"/>
              <w:tr2bl w:val="nil"/>
            </w:tcBorders>
            <w:shd w:val="clear" w:color="auto" w:fill="auto"/>
            <w:noWrap w:val="0"/>
            <w:tcMar>
              <w:left w:w="40" w:type="dxa"/>
              <w:right w:w="40" w:type="dxa"/>
            </w:tcMar>
            <w:textDirection w:val="lrTb"/>
            <w:tcFitText w:val="0"/>
            <w:vAlign w:val="top"/>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pārskata perioda apvienotie ienākumi</w:t>
            </w:r>
          </w:p>
        </w:tc>
        <w:tc>
          <w:tcPr>
            <w:tcW w:w="795"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793" w:name="XBRL_CS_543e7447cf084ec5931ed0e162f90c04"/>
            <w:bookmarkEnd w:id="793"/>
            <w:bookmarkStart w:id="794" w:name="543e7447cf084ec5931ed0e162f90c04"/>
            <w:r>
              <w:rPr>
                <w:rFonts w:ascii="Arial Narrow" w:eastAsia="Arial Narrow" w:hAnsi="Arial Narrow" w:cs="Arial Narrow"/>
                <w:b/>
                <w:i w:val="0"/>
                <w:strike w:val="0"/>
                <w:color w:val="000000"/>
                <w:sz w:val="16"/>
                <w:u w:val="none"/>
                <w:vertAlign w:val="baseline"/>
              </w:rPr>
              <w:t>-</w:t>
            </w:r>
            <w:bookmarkStart w:id="795" w:name="XBRL_CE_543e7447cf084ec5931ed0e162f90c04"/>
            <w:bookmarkEnd w:id="794"/>
            <w:bookmarkEnd w:id="795"/>
          </w:p>
        </w:tc>
        <w:tc>
          <w:tcPr>
            <w:tcW w:w="660"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796" w:name="XBRL_CS_83eba8e0d599413f80bb610eac9742e2"/>
            <w:bookmarkEnd w:id="796"/>
            <w:bookmarkStart w:id="797" w:name="83eba8e0d599413f80bb610eac9742e2"/>
            <w:r>
              <w:rPr>
                <w:rFonts w:ascii="Arial Narrow" w:eastAsia="Arial Narrow" w:hAnsi="Arial Narrow" w:cs="Arial Narrow"/>
                <w:b/>
                <w:i w:val="0"/>
                <w:strike w:val="0"/>
                <w:color w:val="000000"/>
                <w:sz w:val="16"/>
                <w:u w:val="none"/>
                <w:vertAlign w:val="baseline"/>
              </w:rPr>
              <w:t>23,511</w:t>
            </w:r>
            <w:bookmarkStart w:id="798" w:name="XBRL_CE_83eba8e0d599413f80bb610eac9742e2"/>
            <w:bookmarkEnd w:id="797"/>
            <w:bookmarkEnd w:id="798"/>
          </w:p>
        </w:tc>
        <w:tc>
          <w:tcPr>
            <w:tcW w:w="840"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799" w:name="XBRL_CS_520947fa95c04713a55ce2683014a3c1"/>
            <w:bookmarkEnd w:id="799"/>
            <w:bookmarkStart w:id="800" w:name="520947fa95c04713a55ce2683014a3c1"/>
            <w:r>
              <w:rPr>
                <w:rFonts w:ascii="Arial Narrow" w:eastAsia="Arial Narrow" w:hAnsi="Arial Narrow" w:cs="Arial Narrow"/>
                <w:b/>
                <w:i w:val="0"/>
                <w:strike w:val="0"/>
                <w:color w:val="000000"/>
                <w:sz w:val="16"/>
                <w:u w:val="none"/>
                <w:vertAlign w:val="baseline"/>
              </w:rPr>
              <w:t>-</w:t>
            </w:r>
            <w:bookmarkStart w:id="801" w:name="XBRL_CE_520947fa95c04713a55ce2683014a3c1"/>
            <w:bookmarkEnd w:id="800"/>
            <w:bookmarkEnd w:id="801"/>
          </w:p>
        </w:tc>
        <w:tc>
          <w:tcPr>
            <w:tcW w:w="825"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802" w:name="XBRL_CS_1c9f092315d74a3aa10b57f477a38e00"/>
            <w:bookmarkEnd w:id="802"/>
            <w:bookmarkStart w:id="803" w:name="1c9f092315d74a3aa10b57f477a38e00"/>
            <w:r>
              <w:rPr>
                <w:rFonts w:ascii="Arial Narrow" w:eastAsia="Arial Narrow" w:hAnsi="Arial Narrow" w:cs="Arial Narrow"/>
                <w:b/>
                <w:i w:val="0"/>
                <w:strike w:val="0"/>
                <w:color w:val="000000"/>
                <w:sz w:val="16"/>
                <w:u w:val="none"/>
                <w:vertAlign w:val="baseline"/>
              </w:rPr>
              <w:t>-</w:t>
            </w:r>
            <w:bookmarkStart w:id="804" w:name="XBRL_CE_1c9f092315d74a3aa10b57f477a38e00"/>
            <w:bookmarkEnd w:id="803"/>
            <w:bookmarkEnd w:id="804"/>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805" w:name="XBRL_CS_fd96c1c536bc4c15a66b23b2e5333845"/>
            <w:bookmarkEnd w:id="805"/>
            <w:bookmarkStart w:id="806" w:name="fd96c1c536bc4c15a66b23b2e5333845"/>
            <w:r>
              <w:rPr>
                <w:rFonts w:ascii="Arial Narrow" w:eastAsia="Arial Narrow" w:hAnsi="Arial Narrow" w:cs="Arial Narrow"/>
                <w:b/>
                <w:i w:val="0"/>
                <w:strike w:val="0"/>
                <w:color w:val="000000"/>
                <w:sz w:val="16"/>
                <w:u w:val="none"/>
                <w:vertAlign w:val="baseline"/>
              </w:rPr>
              <w:t>5,445,794</w:t>
            </w:r>
            <w:bookmarkStart w:id="807" w:name="XBRL_CE_fd96c1c536bc4c15a66b23b2e5333845"/>
            <w:bookmarkEnd w:id="806"/>
            <w:bookmarkEnd w:id="807"/>
          </w:p>
        </w:tc>
        <w:tc>
          <w:tcPr>
            <w:tcW w:w="1035"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808" w:name="XBRL_CS_0f9af7a72a2147f6ab10109a43159143"/>
            <w:bookmarkEnd w:id="808"/>
            <w:bookmarkStart w:id="809" w:name="0f9af7a72a2147f6ab10109a43159143"/>
            <w:r>
              <w:rPr>
                <w:rFonts w:ascii="Arial Narrow" w:eastAsia="Arial Narrow" w:hAnsi="Arial Narrow" w:cs="Arial Narrow"/>
                <w:b/>
                <w:i w:val="0"/>
                <w:strike w:val="0"/>
                <w:color w:val="000000"/>
                <w:sz w:val="16"/>
                <w:u w:val="none"/>
                <w:vertAlign w:val="baseline"/>
              </w:rPr>
              <w:t>5,469,305</w:t>
            </w:r>
            <w:bookmarkStart w:id="810" w:name="XBRL_CE_0f9af7a72a2147f6ab10109a43159143"/>
            <w:bookmarkEnd w:id="809"/>
            <w:bookmarkEnd w:id="810"/>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811" w:name="XBRL_CS_4a01ce99c945448bb17845db684f9f32"/>
            <w:bookmarkEnd w:id="811"/>
            <w:bookmarkStart w:id="812" w:name="4a01ce99c945448bb17845db684f9f32"/>
            <w:r>
              <w:rPr>
                <w:rFonts w:ascii="Arial Narrow" w:eastAsia="Arial Narrow" w:hAnsi="Arial Narrow" w:cs="Arial Narrow"/>
                <w:b/>
                <w:i w:val="0"/>
                <w:strike w:val="0"/>
                <w:color w:val="000000"/>
                <w:sz w:val="16"/>
                <w:u w:val="none"/>
                <w:vertAlign w:val="baseline"/>
              </w:rPr>
              <w:t>111,619</w:t>
            </w:r>
            <w:bookmarkStart w:id="813" w:name="XBRL_CE_4a01ce99c945448bb17845db684f9f32"/>
            <w:bookmarkEnd w:id="812"/>
            <w:bookmarkEnd w:id="813"/>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814" w:name="XBRL_CS_dcf6e328567545768d68a8c15332a4f2"/>
            <w:bookmarkEnd w:id="814"/>
            <w:bookmarkStart w:id="815" w:name="dcf6e328567545768d68a8c15332a4f2"/>
            <w:r>
              <w:rPr>
                <w:rFonts w:ascii="Arial Narrow" w:eastAsia="Arial Narrow" w:hAnsi="Arial Narrow" w:cs="Arial Narrow"/>
                <w:b/>
                <w:i w:val="0"/>
                <w:strike w:val="0"/>
                <w:color w:val="000000"/>
                <w:sz w:val="16"/>
                <w:u w:val="none"/>
                <w:vertAlign w:val="baseline"/>
              </w:rPr>
              <w:t>5,580,924</w:t>
            </w:r>
            <w:bookmarkStart w:id="816" w:name="XBRL_CE_dcf6e328567545768d68a8c15332a4f2"/>
            <w:bookmarkEnd w:id="815"/>
            <w:bookmarkEnd w:id="816"/>
          </w:p>
        </w:tc>
      </w:tr>
      <w:tr>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2775" w:type="dxa"/>
            <w:tcBorders>
              <w:top w:val="nil"/>
              <w:left w:val="nil"/>
              <w:bottom w:val="nil"/>
              <w:right w:val="nil"/>
              <w:tl2br w:val="nil"/>
              <w:tr2bl w:val="nil"/>
            </w:tcBorders>
            <w:shd w:val="clear" w:color="auto" w:fill="auto"/>
            <w:noWrap w:val="0"/>
            <w:tcMar>
              <w:left w:w="40" w:type="dxa"/>
              <w:right w:w="40" w:type="dxa"/>
            </w:tcMar>
            <w:textDirection w:val="lrTb"/>
            <w:tcFitText w:val="0"/>
            <w:vAlign w:val="top"/>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Garantiju atzīšanas pātraukšana (Piezīme 39)</w:t>
            </w:r>
          </w:p>
        </w:tc>
        <w:tc>
          <w:tcPr>
            <w:tcW w:w="795"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17" w:name="XBRL_CS_4b922f087fa5480b91d37a957becdbac"/>
            <w:bookmarkEnd w:id="817"/>
            <w:bookmarkStart w:id="818" w:name="4b922f087fa5480b91d37a957becdbac"/>
            <w:r>
              <w:rPr>
                <w:rFonts w:ascii="Arial Narrow" w:eastAsia="Arial Narrow" w:hAnsi="Arial Narrow" w:cs="Arial Narrow"/>
                <w:b w:val="0"/>
                <w:i w:val="0"/>
                <w:strike w:val="0"/>
                <w:color w:val="000000"/>
                <w:sz w:val="16"/>
                <w:u w:val="none"/>
                <w:vertAlign w:val="baseline"/>
              </w:rPr>
              <w:t>-</w:t>
            </w:r>
            <w:bookmarkStart w:id="819" w:name="XBRL_CE_4b922f087fa5480b91d37a957becdbac"/>
            <w:bookmarkEnd w:id="818"/>
            <w:bookmarkEnd w:id="819"/>
          </w:p>
        </w:tc>
        <w:tc>
          <w:tcPr>
            <w:tcW w:w="66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20" w:name="XBRL_CS_7a56efdd6f6a4103ad57b24ce709df42"/>
            <w:bookmarkEnd w:id="820"/>
            <w:bookmarkStart w:id="821" w:name="7a56efdd6f6a4103ad57b24ce709df42"/>
            <w:r>
              <w:rPr>
                <w:rFonts w:ascii="Arial Narrow" w:eastAsia="Arial Narrow" w:hAnsi="Arial Narrow" w:cs="Arial Narrow"/>
                <w:b w:val="0"/>
                <w:i w:val="0"/>
                <w:strike w:val="0"/>
                <w:color w:val="000000"/>
                <w:sz w:val="16"/>
                <w:u w:val="none"/>
                <w:vertAlign w:val="baseline"/>
              </w:rPr>
              <w:t>-</w:t>
            </w:r>
            <w:bookmarkStart w:id="822" w:name="XBRL_CE_7a56efdd6f6a4103ad57b24ce709df42"/>
            <w:bookmarkEnd w:id="821"/>
            <w:bookmarkEnd w:id="822"/>
          </w:p>
        </w:tc>
        <w:tc>
          <w:tcPr>
            <w:tcW w:w="84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23" w:name="XBRL_CS_5525820b0da046a9a569348ce095948a"/>
            <w:bookmarkEnd w:id="823"/>
            <w:bookmarkStart w:id="824" w:name="5525820b0da046a9a569348ce095948a"/>
            <w:r>
              <w:rPr>
                <w:rFonts w:ascii="Arial Narrow" w:eastAsia="Arial Narrow" w:hAnsi="Arial Narrow" w:cs="Arial Narrow"/>
                <w:b w:val="0"/>
                <w:i w:val="0"/>
                <w:strike w:val="0"/>
                <w:color w:val="000000"/>
                <w:sz w:val="16"/>
                <w:u w:val="none"/>
                <w:vertAlign w:val="baseline"/>
              </w:rPr>
              <w:t>-</w:t>
            </w:r>
            <w:bookmarkStart w:id="825" w:name="XBRL_CE_5525820b0da046a9a569348ce095948a"/>
            <w:bookmarkEnd w:id="824"/>
            <w:bookmarkEnd w:id="825"/>
          </w:p>
        </w:tc>
        <w:tc>
          <w:tcPr>
            <w:tcW w:w="825"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26" w:name="XBRL_CS_da6785d3b6584d2898e56554036a7378"/>
            <w:bookmarkEnd w:id="826"/>
            <w:bookmarkStart w:id="827" w:name="da6785d3b6584d2898e56554036a7378"/>
            <w:r>
              <w:rPr>
                <w:rFonts w:ascii="Arial Narrow" w:eastAsia="Arial Narrow" w:hAnsi="Arial Narrow" w:cs="Arial Narrow"/>
                <w:b w:val="0"/>
                <w:i w:val="0"/>
                <w:strike w:val="0"/>
                <w:color w:val="000000"/>
                <w:sz w:val="16"/>
                <w:u w:val="none"/>
                <w:vertAlign w:val="baseline"/>
              </w:rPr>
              <w:t>4,085,406</w:t>
            </w:r>
            <w:bookmarkStart w:id="828" w:name="XBRL_CE_da6785d3b6584d2898e56554036a7378"/>
            <w:bookmarkEnd w:id="827"/>
            <w:bookmarkEnd w:id="828"/>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29" w:name="XBRL_CS_5e60abf8e6a34f049d6c1f2f50de9887"/>
            <w:bookmarkEnd w:id="829"/>
            <w:bookmarkStart w:id="830" w:name="5e60abf8e6a34f049d6c1f2f50de9887"/>
            <w:r>
              <w:rPr>
                <w:rFonts w:ascii="Arial Narrow" w:eastAsia="Arial Narrow" w:hAnsi="Arial Narrow" w:cs="Arial Narrow"/>
                <w:b w:val="0"/>
                <w:i w:val="0"/>
                <w:strike w:val="0"/>
                <w:color w:val="000000"/>
                <w:sz w:val="16"/>
                <w:u w:val="none"/>
                <w:vertAlign w:val="baseline"/>
              </w:rPr>
              <w:t>(3,022,906)</w:t>
            </w:r>
            <w:bookmarkStart w:id="831" w:name="XBRL_CE_5e60abf8e6a34f049d6c1f2f50de9887"/>
            <w:bookmarkEnd w:id="830"/>
            <w:bookmarkEnd w:id="831"/>
          </w:p>
        </w:tc>
        <w:tc>
          <w:tcPr>
            <w:tcW w:w="1035"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832" w:name="XBRL_CS_27f70104d3ff4a7b855994e1558653b5"/>
            <w:bookmarkEnd w:id="832"/>
            <w:bookmarkStart w:id="833" w:name="27f70104d3ff4a7b855994e1558653b5"/>
            <w:r>
              <w:rPr>
                <w:rFonts w:ascii="Arial Narrow" w:eastAsia="Arial Narrow" w:hAnsi="Arial Narrow" w:cs="Arial Narrow"/>
                <w:b/>
                <w:i w:val="0"/>
                <w:strike w:val="0"/>
                <w:color w:val="000000"/>
                <w:sz w:val="16"/>
                <w:u w:val="none"/>
                <w:vertAlign w:val="baseline"/>
              </w:rPr>
              <w:t>1,062,500</w:t>
            </w:r>
            <w:bookmarkStart w:id="834" w:name="XBRL_CE_27f70104d3ff4a7b855994e1558653b5"/>
            <w:bookmarkEnd w:id="833"/>
            <w:bookmarkEnd w:id="834"/>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35" w:name="XBRL_CS_db63c30b21d14d3c962b239317191079"/>
            <w:bookmarkEnd w:id="835"/>
            <w:bookmarkStart w:id="836" w:name="db63c30b21d14d3c962b239317191079"/>
            <w:r>
              <w:rPr>
                <w:rFonts w:ascii="Arial Narrow" w:eastAsia="Arial Narrow" w:hAnsi="Arial Narrow" w:cs="Arial Narrow"/>
                <w:b w:val="0"/>
                <w:i w:val="0"/>
                <w:strike w:val="0"/>
                <w:color w:val="000000"/>
                <w:sz w:val="16"/>
                <w:u w:val="none"/>
                <w:vertAlign w:val="baseline"/>
              </w:rPr>
              <w:t>(61,692)</w:t>
            </w:r>
            <w:bookmarkStart w:id="837" w:name="XBRL_CE_db63c30b21d14d3c962b239317191079"/>
            <w:bookmarkEnd w:id="836"/>
            <w:bookmarkEnd w:id="837"/>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38" w:name="XBRL_CS_03dac0f8c323422192db983adfefb1ff"/>
            <w:bookmarkEnd w:id="838"/>
            <w:bookmarkStart w:id="839" w:name="03dac0f8c323422192db983adfefb1ff"/>
            <w:r>
              <w:rPr>
                <w:rFonts w:ascii="Arial Narrow" w:eastAsia="Arial Narrow" w:hAnsi="Arial Narrow" w:cs="Arial Narrow"/>
                <w:b w:val="0"/>
                <w:i w:val="0"/>
                <w:strike w:val="0"/>
                <w:color w:val="000000"/>
                <w:sz w:val="16"/>
                <w:u w:val="none"/>
                <w:vertAlign w:val="baseline"/>
              </w:rPr>
              <w:t>1,000,808</w:t>
            </w:r>
            <w:bookmarkStart w:id="840" w:name="XBRL_CE_03dac0f8c323422192db983adfefb1ff"/>
            <w:bookmarkEnd w:id="839"/>
            <w:bookmarkEnd w:id="840"/>
          </w:p>
        </w:tc>
      </w:tr>
      <w:tr>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2775" w:type="dxa"/>
            <w:tcBorders>
              <w:top w:val="nil"/>
              <w:left w:val="nil"/>
              <w:bottom w:val="nil"/>
              <w:right w:val="nil"/>
              <w:tl2br w:val="nil"/>
              <w:tr2bl w:val="nil"/>
            </w:tcBorders>
            <w:shd w:val="clear" w:color="auto" w:fill="auto"/>
            <w:noWrap w:val="0"/>
            <w:tcMar>
              <w:left w:w="40" w:type="dxa"/>
              <w:right w:w="40" w:type="dxa"/>
            </w:tcMar>
            <w:textDirection w:val="lrTb"/>
            <w:tcFitText w:val="0"/>
            <w:vAlign w:val="top"/>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Akciju kapitāla samazinājums (Piezīme 29)</w:t>
            </w:r>
          </w:p>
        </w:tc>
        <w:tc>
          <w:tcPr>
            <w:tcW w:w="795"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41" w:name="XBRL_CS_97c80b83f2834f318b08345799ff300c"/>
            <w:bookmarkEnd w:id="841"/>
            <w:bookmarkStart w:id="842" w:name="97c80b83f2834f318b08345799ff300c"/>
            <w:r>
              <w:rPr>
                <w:rFonts w:ascii="Arial Narrow" w:eastAsia="Arial Narrow" w:hAnsi="Arial Narrow" w:cs="Arial Narrow"/>
                <w:b w:val="0"/>
                <w:i w:val="0"/>
                <w:strike w:val="0"/>
                <w:color w:val="000000"/>
                <w:sz w:val="16"/>
                <w:u w:val="none"/>
                <w:vertAlign w:val="baseline"/>
              </w:rPr>
              <w:t>(4,575,000)</w:t>
            </w:r>
            <w:bookmarkStart w:id="843" w:name="XBRL_CE_97c80b83f2834f318b08345799ff300c"/>
            <w:bookmarkEnd w:id="842"/>
            <w:bookmarkEnd w:id="843"/>
          </w:p>
        </w:tc>
        <w:tc>
          <w:tcPr>
            <w:tcW w:w="66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44" w:name="XBRL_CS_6c01c9499e81474680a59804565f2339"/>
            <w:bookmarkEnd w:id="844"/>
            <w:bookmarkStart w:id="845" w:name="6c01c9499e81474680a59804565f2339"/>
            <w:r>
              <w:rPr>
                <w:rFonts w:ascii="Arial Narrow" w:eastAsia="Arial Narrow" w:hAnsi="Arial Narrow" w:cs="Arial Narrow"/>
                <w:b w:val="0"/>
                <w:i w:val="0"/>
                <w:strike w:val="0"/>
                <w:color w:val="000000"/>
                <w:sz w:val="16"/>
                <w:u w:val="none"/>
                <w:vertAlign w:val="baseline"/>
              </w:rPr>
              <w:t>-</w:t>
            </w:r>
            <w:bookmarkStart w:id="846" w:name="XBRL_CE_6c01c9499e81474680a59804565f2339"/>
            <w:bookmarkEnd w:id="845"/>
            <w:bookmarkEnd w:id="846"/>
          </w:p>
        </w:tc>
        <w:tc>
          <w:tcPr>
            <w:tcW w:w="84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47" w:name="XBRL_CS_b2f259a41e9f4f3cb5c196c5903aadef"/>
            <w:bookmarkEnd w:id="847"/>
            <w:bookmarkStart w:id="848" w:name="b2f259a41e9f4f3cb5c196c5903aadef"/>
            <w:r>
              <w:rPr>
                <w:rFonts w:ascii="Arial Narrow" w:eastAsia="Arial Narrow" w:hAnsi="Arial Narrow" w:cs="Arial Narrow"/>
                <w:b w:val="0"/>
                <w:i w:val="0"/>
                <w:strike w:val="0"/>
                <w:color w:val="000000"/>
                <w:sz w:val="16"/>
                <w:u w:val="none"/>
                <w:vertAlign w:val="baseline"/>
              </w:rPr>
              <w:t>-</w:t>
            </w:r>
            <w:bookmarkStart w:id="849" w:name="XBRL_CE_b2f259a41e9f4f3cb5c196c5903aadef"/>
            <w:bookmarkEnd w:id="848"/>
            <w:bookmarkEnd w:id="849"/>
          </w:p>
        </w:tc>
        <w:tc>
          <w:tcPr>
            <w:tcW w:w="825"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50" w:name="XBRL_CS_a7b139b1c4574062b9039c22d0e92635"/>
            <w:bookmarkEnd w:id="850"/>
            <w:bookmarkStart w:id="851" w:name="a7b139b1c4574062b9039c22d0e92635"/>
            <w:r>
              <w:rPr>
                <w:rFonts w:ascii="Arial Narrow" w:eastAsia="Arial Narrow" w:hAnsi="Arial Narrow" w:cs="Arial Narrow"/>
                <w:b w:val="0"/>
                <w:i w:val="0"/>
                <w:strike w:val="0"/>
                <w:color w:val="000000"/>
                <w:sz w:val="16"/>
                <w:u w:val="none"/>
                <w:vertAlign w:val="baseline"/>
              </w:rPr>
              <w:t>-</w:t>
            </w:r>
            <w:bookmarkStart w:id="852" w:name="XBRL_CE_a7b139b1c4574062b9039c22d0e92635"/>
            <w:bookmarkEnd w:id="851"/>
            <w:bookmarkEnd w:id="852"/>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53" w:name="XBRL_CS_34147998f320433193be17c7535624bf"/>
            <w:bookmarkEnd w:id="853"/>
            <w:bookmarkStart w:id="854" w:name="34147998f320433193be17c7535624bf"/>
            <w:r>
              <w:rPr>
                <w:rFonts w:ascii="Arial Narrow" w:eastAsia="Arial Narrow" w:hAnsi="Arial Narrow" w:cs="Arial Narrow"/>
                <w:b w:val="0"/>
                <w:i w:val="0"/>
                <w:strike w:val="0"/>
                <w:color w:val="000000"/>
                <w:sz w:val="16"/>
                <w:u w:val="none"/>
                <w:vertAlign w:val="baseline"/>
              </w:rPr>
              <w:t>-</w:t>
            </w:r>
            <w:bookmarkStart w:id="855" w:name="XBRL_CE_34147998f320433193be17c7535624bf"/>
            <w:bookmarkEnd w:id="854"/>
            <w:bookmarkEnd w:id="855"/>
          </w:p>
        </w:tc>
        <w:tc>
          <w:tcPr>
            <w:tcW w:w="1035"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856" w:name="XBRL_CS_8c69fae574414d04b00f1400beae5e01"/>
            <w:bookmarkEnd w:id="856"/>
            <w:bookmarkStart w:id="857" w:name="8c69fae574414d04b00f1400beae5e01"/>
            <w:r>
              <w:rPr>
                <w:rFonts w:ascii="Arial Narrow" w:eastAsia="Arial Narrow" w:hAnsi="Arial Narrow" w:cs="Arial Narrow"/>
                <w:b/>
                <w:i w:val="0"/>
                <w:strike w:val="0"/>
                <w:color w:val="000000"/>
                <w:sz w:val="16"/>
                <w:u w:val="none"/>
                <w:vertAlign w:val="baseline"/>
              </w:rPr>
              <w:t>(4,575,000)</w:t>
            </w:r>
            <w:bookmarkStart w:id="858" w:name="XBRL_CE_8c69fae574414d04b00f1400beae5e01"/>
            <w:bookmarkEnd w:id="857"/>
            <w:bookmarkEnd w:id="858"/>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59" w:name="XBRL_CS_606179774f19442eb365f5e87dd34c7b"/>
            <w:bookmarkEnd w:id="859"/>
            <w:bookmarkStart w:id="860" w:name="606179774f19442eb365f5e87dd34c7b"/>
            <w:r>
              <w:rPr>
                <w:rFonts w:ascii="Arial Narrow" w:eastAsia="Arial Narrow" w:hAnsi="Arial Narrow" w:cs="Arial Narrow"/>
                <w:b w:val="0"/>
                <w:i w:val="0"/>
                <w:strike w:val="0"/>
                <w:color w:val="000000"/>
                <w:sz w:val="16"/>
                <w:u w:val="none"/>
                <w:vertAlign w:val="baseline"/>
              </w:rPr>
              <w:t>-</w:t>
            </w:r>
            <w:bookmarkStart w:id="861" w:name="XBRL_CE_606179774f19442eb365f5e87dd34c7b"/>
            <w:bookmarkEnd w:id="860"/>
            <w:bookmarkEnd w:id="861"/>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62" w:name="XBRL_CS_bc58e1725276451fb7edacda8a10a727"/>
            <w:bookmarkEnd w:id="862"/>
            <w:bookmarkStart w:id="863" w:name="bc58e1725276451fb7edacda8a10a727"/>
            <w:r>
              <w:rPr>
                <w:rFonts w:ascii="Arial Narrow" w:eastAsia="Arial Narrow" w:hAnsi="Arial Narrow" w:cs="Arial Narrow"/>
                <w:b w:val="0"/>
                <w:i w:val="0"/>
                <w:strike w:val="0"/>
                <w:color w:val="000000"/>
                <w:sz w:val="16"/>
                <w:u w:val="none"/>
                <w:vertAlign w:val="baseline"/>
              </w:rPr>
              <w:t>(4,575,000)</w:t>
            </w:r>
            <w:bookmarkStart w:id="864" w:name="XBRL_CE_bc58e1725276451fb7edacda8a10a727"/>
            <w:bookmarkEnd w:id="863"/>
            <w:bookmarkEnd w:id="864"/>
          </w:p>
        </w:tc>
      </w:tr>
      <w:tr>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40"/>
        </w:trPr>
        <w:tc>
          <w:tcPr>
            <w:tcW w:w="2775" w:type="dxa"/>
            <w:tcBorders>
              <w:top w:val="nil"/>
              <w:left w:val="nil"/>
              <w:bottom w:val="nil"/>
              <w:right w:val="nil"/>
              <w:tl2br w:val="nil"/>
              <w:tr2bl w:val="nil"/>
            </w:tcBorders>
            <w:shd w:val="clear" w:color="auto" w:fill="auto"/>
            <w:noWrap w:val="0"/>
            <w:tcMar>
              <w:left w:w="40" w:type="dxa"/>
              <w:right w:w="40" w:type="dxa"/>
            </w:tcMar>
            <w:textDirection w:val="lrTb"/>
            <w:tcFitText w:val="0"/>
            <w:vAlign w:val="top"/>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Izsniegtās finanšu garantijas (Piezīme 39)</w:t>
            </w:r>
          </w:p>
        </w:tc>
        <w:tc>
          <w:tcPr>
            <w:tcW w:w="795"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65" w:name="XBRL_CS_77e011c3808c4de4bdf6f5f3aaf2e944"/>
            <w:bookmarkEnd w:id="865"/>
            <w:bookmarkStart w:id="866" w:name="77e011c3808c4de4bdf6f5f3aaf2e944"/>
            <w:r>
              <w:rPr>
                <w:rFonts w:ascii="Arial Narrow" w:eastAsia="Arial Narrow" w:hAnsi="Arial Narrow" w:cs="Arial Narrow"/>
                <w:b w:val="0"/>
                <w:i w:val="0"/>
                <w:strike w:val="0"/>
                <w:color w:val="000000"/>
                <w:sz w:val="16"/>
                <w:u w:val="none"/>
                <w:vertAlign w:val="baseline"/>
              </w:rPr>
              <w:t>-</w:t>
            </w:r>
            <w:bookmarkStart w:id="867" w:name="XBRL_CE_77e011c3808c4de4bdf6f5f3aaf2e944"/>
            <w:bookmarkEnd w:id="866"/>
            <w:bookmarkEnd w:id="867"/>
          </w:p>
        </w:tc>
        <w:tc>
          <w:tcPr>
            <w:tcW w:w="66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68" w:name="XBRL_CS_9dc1ce66ef3242ddbd0503cf4564923c"/>
            <w:bookmarkEnd w:id="868"/>
            <w:bookmarkStart w:id="869" w:name="9dc1ce66ef3242ddbd0503cf4564923c"/>
            <w:r>
              <w:rPr>
                <w:rFonts w:ascii="Arial Narrow" w:eastAsia="Arial Narrow" w:hAnsi="Arial Narrow" w:cs="Arial Narrow"/>
                <w:b w:val="0"/>
                <w:i w:val="0"/>
                <w:strike w:val="0"/>
                <w:color w:val="000000"/>
                <w:sz w:val="16"/>
                <w:u w:val="none"/>
                <w:vertAlign w:val="baseline"/>
              </w:rPr>
              <w:t>-</w:t>
            </w:r>
            <w:bookmarkStart w:id="870" w:name="XBRL_CE_9dc1ce66ef3242ddbd0503cf4564923c"/>
            <w:bookmarkEnd w:id="869"/>
            <w:bookmarkEnd w:id="870"/>
          </w:p>
        </w:tc>
        <w:tc>
          <w:tcPr>
            <w:tcW w:w="84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71" w:name="XBRL_CS_8c7391e5db0f434e936f1091df79d672"/>
            <w:bookmarkEnd w:id="871"/>
            <w:bookmarkStart w:id="872" w:name="8c7391e5db0f434e936f1091df79d672"/>
            <w:r>
              <w:rPr>
                <w:rFonts w:ascii="Arial Narrow" w:eastAsia="Arial Narrow" w:hAnsi="Arial Narrow" w:cs="Arial Narrow"/>
                <w:b w:val="0"/>
                <w:i w:val="0"/>
                <w:strike w:val="0"/>
                <w:color w:val="000000"/>
                <w:sz w:val="16"/>
                <w:u w:val="none"/>
                <w:vertAlign w:val="baseline"/>
              </w:rPr>
              <w:t>-</w:t>
            </w:r>
            <w:bookmarkStart w:id="873" w:name="XBRL_CE_8c7391e5db0f434e936f1091df79d672"/>
            <w:bookmarkEnd w:id="872"/>
            <w:bookmarkEnd w:id="873"/>
          </w:p>
        </w:tc>
        <w:tc>
          <w:tcPr>
            <w:tcW w:w="825"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74" w:name="XBRL_CS_944c312548194234a220b4709532abf8"/>
            <w:bookmarkEnd w:id="874"/>
            <w:bookmarkStart w:id="875" w:name="944c312548194234a220b4709532abf8"/>
            <w:r>
              <w:rPr>
                <w:rFonts w:ascii="Arial Narrow" w:eastAsia="Arial Narrow" w:hAnsi="Arial Narrow" w:cs="Arial Narrow"/>
                <w:b w:val="0"/>
                <w:i w:val="0"/>
                <w:strike w:val="0"/>
                <w:color w:val="000000"/>
                <w:sz w:val="16"/>
                <w:u w:val="none"/>
                <w:vertAlign w:val="baseline"/>
              </w:rPr>
              <w:t>(3,312,896)</w:t>
            </w:r>
            <w:bookmarkStart w:id="876" w:name="XBRL_CE_944c312548194234a220b4709532abf8"/>
            <w:bookmarkEnd w:id="875"/>
            <w:bookmarkEnd w:id="876"/>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77" w:name="XBRL_CS_2d5db6655b214207ab72944df0714418"/>
            <w:bookmarkEnd w:id="877"/>
            <w:bookmarkStart w:id="878" w:name="2d5db6655b214207ab72944df0714418"/>
            <w:r>
              <w:rPr>
                <w:rFonts w:ascii="Arial Narrow" w:eastAsia="Arial Narrow" w:hAnsi="Arial Narrow" w:cs="Arial Narrow"/>
                <w:b w:val="0"/>
                <w:i w:val="0"/>
                <w:strike w:val="0"/>
                <w:color w:val="000000"/>
                <w:sz w:val="16"/>
                <w:u w:val="none"/>
                <w:vertAlign w:val="baseline"/>
              </w:rPr>
              <w:t>-</w:t>
            </w:r>
            <w:bookmarkStart w:id="879" w:name="XBRL_CE_2d5db6655b214207ab72944df0714418"/>
            <w:bookmarkEnd w:id="878"/>
            <w:bookmarkEnd w:id="879"/>
          </w:p>
        </w:tc>
        <w:tc>
          <w:tcPr>
            <w:tcW w:w="1035"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80" w:name="XBRL_CS_ced9c1c45e4f4418bfc9800e6b811b88"/>
            <w:bookmarkEnd w:id="880"/>
            <w:bookmarkStart w:id="881" w:name="ced9c1c45e4f4418bfc9800e6b811b88"/>
            <w:r>
              <w:rPr>
                <w:rFonts w:ascii="Arial Narrow" w:eastAsia="Arial Narrow" w:hAnsi="Arial Narrow" w:cs="Arial Narrow"/>
                <w:b w:val="0"/>
                <w:i w:val="0"/>
                <w:strike w:val="0"/>
                <w:color w:val="000000"/>
                <w:sz w:val="16"/>
                <w:u w:val="none"/>
                <w:vertAlign w:val="baseline"/>
              </w:rPr>
              <w:t>(3,312,896)</w:t>
            </w:r>
            <w:bookmarkStart w:id="882" w:name="XBRL_CE_ced9c1c45e4f4418bfc9800e6b811b88"/>
            <w:bookmarkEnd w:id="881"/>
            <w:bookmarkEnd w:id="882"/>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83" w:name="XBRL_CS_17781c31792c47c1a58819ac4c8029dd"/>
            <w:bookmarkEnd w:id="883"/>
            <w:bookmarkStart w:id="884" w:name="17781c31792c47c1a58819ac4c8029dd"/>
            <w:r>
              <w:rPr>
                <w:rFonts w:ascii="Arial Narrow" w:eastAsia="Arial Narrow" w:hAnsi="Arial Narrow" w:cs="Arial Narrow"/>
                <w:b w:val="0"/>
                <w:i w:val="0"/>
                <w:strike w:val="0"/>
                <w:color w:val="000000"/>
                <w:sz w:val="16"/>
                <w:u w:val="none"/>
                <w:vertAlign w:val="baseline"/>
              </w:rPr>
              <w:t>-</w:t>
            </w:r>
            <w:bookmarkStart w:id="885" w:name="XBRL_CE_17781c31792c47c1a58819ac4c8029dd"/>
            <w:bookmarkEnd w:id="884"/>
            <w:bookmarkEnd w:id="885"/>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86" w:name="XBRL_CS_9b1520cce3544b159cdb656677a77230"/>
            <w:bookmarkEnd w:id="886"/>
            <w:bookmarkStart w:id="887" w:name="9b1520cce3544b159cdb656677a77230"/>
            <w:r>
              <w:rPr>
                <w:rFonts w:ascii="Arial Narrow" w:eastAsia="Arial Narrow" w:hAnsi="Arial Narrow" w:cs="Arial Narrow"/>
                <w:b w:val="0"/>
                <w:i w:val="0"/>
                <w:strike w:val="0"/>
                <w:color w:val="000000"/>
                <w:sz w:val="16"/>
                <w:u w:val="none"/>
                <w:vertAlign w:val="baseline"/>
              </w:rPr>
              <w:t>(3,312,896)</w:t>
            </w:r>
            <w:bookmarkStart w:id="888" w:name="XBRL_CE_9b1520cce3544b159cdb656677a77230"/>
            <w:bookmarkEnd w:id="887"/>
            <w:bookmarkEnd w:id="888"/>
          </w:p>
        </w:tc>
      </w:tr>
      <w:tr>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450"/>
        </w:trPr>
        <w:tc>
          <w:tcPr>
            <w:tcW w:w="2775" w:type="dxa"/>
            <w:tcBorders>
              <w:top w:val="nil"/>
              <w:left w:val="nil"/>
              <w:bottom w:val="nil"/>
              <w:right w:val="nil"/>
              <w:tl2br w:val="nil"/>
              <w:tr2bl w:val="nil"/>
            </w:tcBorders>
            <w:shd w:val="clear" w:color="auto" w:fill="auto"/>
            <w:noWrap w:val="0"/>
            <w:tcMar>
              <w:left w:w="40" w:type="dxa"/>
              <w:right w:w="40" w:type="dxa"/>
            </w:tcMar>
            <w:textDirection w:val="lrTb"/>
            <w:tcFitText w:val="0"/>
            <w:vAlign w:val="top"/>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Garantiju patiesās vērtības samazinājums nebūtisku modifikāciju dēļ (Piezīme 39)</w:t>
            </w:r>
          </w:p>
        </w:tc>
        <w:tc>
          <w:tcPr>
            <w:tcW w:w="795"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89" w:name="XBRL_CS_e3c3d217398749fbbdb4372e82adb835"/>
            <w:bookmarkEnd w:id="889"/>
            <w:bookmarkStart w:id="890" w:name="e3c3d217398749fbbdb4372e82adb835"/>
            <w:r>
              <w:rPr>
                <w:rFonts w:ascii="Arial Narrow" w:eastAsia="Arial Narrow" w:hAnsi="Arial Narrow" w:cs="Arial Narrow"/>
                <w:b w:val="0"/>
                <w:i w:val="0"/>
                <w:strike w:val="0"/>
                <w:color w:val="000000"/>
                <w:sz w:val="16"/>
                <w:u w:val="none"/>
                <w:vertAlign w:val="baseline"/>
              </w:rPr>
              <w:t>-</w:t>
            </w:r>
            <w:bookmarkStart w:id="891" w:name="XBRL_CE_e3c3d217398749fbbdb4372e82adb835"/>
            <w:bookmarkEnd w:id="890"/>
            <w:bookmarkEnd w:id="891"/>
          </w:p>
        </w:tc>
        <w:tc>
          <w:tcPr>
            <w:tcW w:w="66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92" w:name="XBRL_CS_033f0d35d3a04824a98ccaaef0381c88"/>
            <w:bookmarkEnd w:id="892"/>
            <w:bookmarkStart w:id="893" w:name="033f0d35d3a04824a98ccaaef0381c88"/>
            <w:r>
              <w:rPr>
                <w:rFonts w:ascii="Arial Narrow" w:eastAsia="Arial Narrow" w:hAnsi="Arial Narrow" w:cs="Arial Narrow"/>
                <w:b w:val="0"/>
                <w:i w:val="0"/>
                <w:strike w:val="0"/>
                <w:color w:val="000000"/>
                <w:sz w:val="16"/>
                <w:u w:val="none"/>
                <w:vertAlign w:val="baseline"/>
              </w:rPr>
              <w:t>-</w:t>
            </w:r>
            <w:bookmarkStart w:id="894" w:name="XBRL_CE_033f0d35d3a04824a98ccaaef0381c88"/>
            <w:bookmarkEnd w:id="893"/>
            <w:bookmarkEnd w:id="894"/>
          </w:p>
        </w:tc>
        <w:tc>
          <w:tcPr>
            <w:tcW w:w="84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95" w:name="XBRL_CS_72f4ed4b185a45359a80325bd0d07734"/>
            <w:bookmarkEnd w:id="895"/>
            <w:bookmarkStart w:id="896" w:name="72f4ed4b185a45359a80325bd0d07734"/>
            <w:r>
              <w:rPr>
                <w:rFonts w:ascii="Arial Narrow" w:eastAsia="Arial Narrow" w:hAnsi="Arial Narrow" w:cs="Arial Narrow"/>
                <w:b w:val="0"/>
                <w:i w:val="0"/>
                <w:strike w:val="0"/>
                <w:color w:val="000000"/>
                <w:sz w:val="16"/>
                <w:u w:val="none"/>
                <w:vertAlign w:val="baseline"/>
              </w:rPr>
              <w:t>-</w:t>
            </w:r>
            <w:bookmarkStart w:id="897" w:name="XBRL_CE_72f4ed4b185a45359a80325bd0d07734"/>
            <w:bookmarkEnd w:id="896"/>
            <w:bookmarkEnd w:id="897"/>
          </w:p>
        </w:tc>
        <w:tc>
          <w:tcPr>
            <w:tcW w:w="825"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898" w:name="XBRL_CS_ce8d4d9f1b794ab39ded96b453c622d5"/>
            <w:bookmarkEnd w:id="898"/>
            <w:bookmarkStart w:id="899" w:name="ce8d4d9f1b794ab39ded96b453c622d5"/>
            <w:r>
              <w:rPr>
                <w:rFonts w:ascii="Arial Narrow" w:eastAsia="Arial Narrow" w:hAnsi="Arial Narrow" w:cs="Arial Narrow"/>
                <w:b w:val="0"/>
                <w:i w:val="0"/>
                <w:strike w:val="0"/>
                <w:color w:val="000000"/>
                <w:sz w:val="16"/>
                <w:u w:val="none"/>
                <w:vertAlign w:val="baseline"/>
              </w:rPr>
              <w:t>1,115,812</w:t>
            </w:r>
            <w:bookmarkStart w:id="900" w:name="XBRL_CE_ce8d4d9f1b794ab39ded96b453c622d5"/>
            <w:bookmarkEnd w:id="899"/>
            <w:bookmarkEnd w:id="900"/>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01" w:name="XBRL_CS_9467d45f0c224adbb7d684e71b2bdd68"/>
            <w:bookmarkEnd w:id="901"/>
            <w:bookmarkStart w:id="902" w:name="9467d45f0c224adbb7d684e71b2bdd68"/>
            <w:r>
              <w:rPr>
                <w:rFonts w:ascii="Arial Narrow" w:eastAsia="Arial Narrow" w:hAnsi="Arial Narrow" w:cs="Arial Narrow"/>
                <w:b w:val="0"/>
                <w:i w:val="0"/>
                <w:strike w:val="0"/>
                <w:color w:val="000000"/>
                <w:sz w:val="16"/>
                <w:u w:val="none"/>
                <w:vertAlign w:val="baseline"/>
              </w:rPr>
              <w:t>-</w:t>
            </w:r>
            <w:bookmarkStart w:id="903" w:name="XBRL_CE_9467d45f0c224adbb7d684e71b2bdd68"/>
            <w:bookmarkEnd w:id="902"/>
            <w:bookmarkEnd w:id="903"/>
          </w:p>
        </w:tc>
        <w:tc>
          <w:tcPr>
            <w:tcW w:w="1035"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04" w:name="XBRL_CS_1a9797e8870441539354c94d52a64a40"/>
            <w:bookmarkEnd w:id="904"/>
            <w:bookmarkStart w:id="905" w:name="1a9797e8870441539354c94d52a64a40"/>
            <w:r>
              <w:rPr>
                <w:rFonts w:ascii="Arial Narrow" w:eastAsia="Arial Narrow" w:hAnsi="Arial Narrow" w:cs="Arial Narrow"/>
                <w:b w:val="0"/>
                <w:i w:val="0"/>
                <w:strike w:val="0"/>
                <w:color w:val="000000"/>
                <w:sz w:val="16"/>
                <w:u w:val="none"/>
                <w:vertAlign w:val="baseline"/>
              </w:rPr>
              <w:t>1,115,813</w:t>
            </w:r>
            <w:bookmarkStart w:id="906" w:name="XBRL_CE_1a9797e8870441539354c94d52a64a40"/>
            <w:bookmarkEnd w:id="905"/>
            <w:bookmarkEnd w:id="906"/>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07" w:name="XBRL_CS_39a1154f87c345ea97f2242b1e2cec67"/>
            <w:bookmarkEnd w:id="907"/>
            <w:bookmarkStart w:id="908" w:name="39a1154f87c345ea97f2242b1e2cec67"/>
            <w:r>
              <w:rPr>
                <w:rFonts w:ascii="Arial Narrow" w:eastAsia="Arial Narrow" w:hAnsi="Arial Narrow" w:cs="Arial Narrow"/>
                <w:b w:val="0"/>
                <w:i w:val="0"/>
                <w:strike w:val="0"/>
                <w:color w:val="000000"/>
                <w:sz w:val="16"/>
                <w:u w:val="none"/>
                <w:vertAlign w:val="baseline"/>
              </w:rPr>
              <w:t>-</w:t>
            </w:r>
            <w:bookmarkStart w:id="909" w:name="XBRL_CE_39a1154f87c345ea97f2242b1e2cec67"/>
            <w:bookmarkEnd w:id="908"/>
            <w:bookmarkEnd w:id="909"/>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top"/>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10" w:name="XBRL_CS_f381c3a59a7444feb55751b65d5c7e8a"/>
            <w:bookmarkEnd w:id="910"/>
            <w:bookmarkStart w:id="911" w:name="f381c3a59a7444feb55751b65d5c7e8a"/>
            <w:r>
              <w:rPr>
                <w:rFonts w:ascii="Arial Narrow" w:eastAsia="Arial Narrow" w:hAnsi="Arial Narrow" w:cs="Arial Narrow"/>
                <w:b w:val="0"/>
                <w:i w:val="0"/>
                <w:strike w:val="0"/>
                <w:color w:val="000000"/>
                <w:sz w:val="16"/>
                <w:u w:val="none"/>
                <w:vertAlign w:val="baseline"/>
              </w:rPr>
              <w:t>1,115,813</w:t>
            </w:r>
            <w:bookmarkStart w:id="912" w:name="XBRL_CE_f381c3a59a7444feb55751b65d5c7e8a"/>
            <w:bookmarkEnd w:id="911"/>
            <w:bookmarkEnd w:id="912"/>
          </w:p>
        </w:tc>
      </w:tr>
      <w:tr>
        <w:tblPrEx>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2775"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top"/>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Atlikums 31.12.2021.</w:t>
            </w:r>
          </w:p>
        </w:tc>
        <w:tc>
          <w:tcPr>
            <w:tcW w:w="795"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913" w:name="XBRL_CS_9c2874e1e88941f3807e3b0c388f2c30"/>
            <w:bookmarkEnd w:id="913"/>
            <w:bookmarkStart w:id="914" w:name="9c2874e1e88941f3807e3b0c388f2c30"/>
            <w:r>
              <w:rPr>
                <w:rFonts w:ascii="Arial Narrow" w:eastAsia="Arial Narrow" w:hAnsi="Arial Narrow" w:cs="Arial Narrow"/>
                <w:b/>
                <w:i w:val="0"/>
                <w:strike w:val="0"/>
                <w:color w:val="000000"/>
                <w:sz w:val="16"/>
                <w:u w:val="none"/>
                <w:vertAlign w:val="baseline"/>
              </w:rPr>
              <w:t>425,000</w:t>
            </w:r>
            <w:bookmarkStart w:id="915" w:name="XBRL_CE_9c2874e1e88941f3807e3b0c388f2c30"/>
            <w:bookmarkEnd w:id="914"/>
            <w:bookmarkEnd w:id="915"/>
          </w:p>
        </w:tc>
        <w:tc>
          <w:tcPr>
            <w:tcW w:w="66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916" w:name="XBRL_CS_6926c405d0974974b3772f29eb46f953"/>
            <w:bookmarkEnd w:id="916"/>
            <w:bookmarkStart w:id="917" w:name="6926c405d0974974b3772f29eb46f953"/>
            <w:r>
              <w:rPr>
                <w:rFonts w:ascii="Arial Narrow" w:eastAsia="Arial Narrow" w:hAnsi="Arial Narrow" w:cs="Arial Narrow"/>
                <w:b/>
                <w:i w:val="0"/>
                <w:strike w:val="0"/>
                <w:color w:val="000000"/>
                <w:sz w:val="16"/>
                <w:u w:val="none"/>
                <w:vertAlign w:val="baseline"/>
              </w:rPr>
              <w:t>-</w:t>
            </w:r>
            <w:bookmarkStart w:id="918" w:name="XBRL_CE_6926c405d0974974b3772f29eb46f953"/>
            <w:bookmarkEnd w:id="917"/>
            <w:bookmarkEnd w:id="918"/>
          </w:p>
        </w:tc>
        <w:tc>
          <w:tcPr>
            <w:tcW w:w="84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919" w:name="XBRL_CS_bae44a6441754ca4b706b6644c7f0896"/>
            <w:bookmarkEnd w:id="919"/>
            <w:bookmarkStart w:id="920" w:name="bae44a6441754ca4b706b6644c7f0896"/>
            <w:r>
              <w:rPr>
                <w:rFonts w:ascii="Arial Narrow" w:eastAsia="Arial Narrow" w:hAnsi="Arial Narrow" w:cs="Arial Narrow"/>
                <w:b/>
                <w:i w:val="0"/>
                <w:strike w:val="0"/>
                <w:color w:val="000000"/>
                <w:sz w:val="16"/>
                <w:u w:val="none"/>
                <w:vertAlign w:val="baseline"/>
              </w:rPr>
              <w:t>1</w:t>
            </w:r>
            <w:bookmarkStart w:id="921" w:name="XBRL_CE_bae44a6441754ca4b706b6644c7f0896"/>
            <w:bookmarkEnd w:id="920"/>
            <w:bookmarkEnd w:id="921"/>
          </w:p>
        </w:tc>
        <w:tc>
          <w:tcPr>
            <w:tcW w:w="825"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922" w:name="XBRL_CS_cf0f0844721447c3947c888357352f85"/>
            <w:bookmarkEnd w:id="922"/>
            <w:bookmarkStart w:id="923" w:name="cf0f0844721447c3947c888357352f85"/>
            <w:r>
              <w:rPr>
                <w:rFonts w:ascii="Arial Narrow" w:eastAsia="Arial Narrow" w:hAnsi="Arial Narrow" w:cs="Arial Narrow"/>
                <w:b/>
                <w:i w:val="0"/>
                <w:strike w:val="0"/>
                <w:color w:val="000000"/>
                <w:sz w:val="16"/>
                <w:u w:val="none"/>
                <w:vertAlign w:val="baseline"/>
              </w:rPr>
              <w:t>(2,197,084)</w:t>
            </w:r>
            <w:bookmarkStart w:id="924" w:name="XBRL_CE_cf0f0844721447c3947c888357352f85"/>
            <w:bookmarkEnd w:id="923"/>
            <w:bookmarkEnd w:id="924"/>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925" w:name="XBRL_CS_656bdca17b1e409fa97ce91ecb6ed91c"/>
            <w:bookmarkEnd w:id="925"/>
            <w:bookmarkStart w:id="926" w:name="656bdca17b1e409fa97ce91ecb6ed91c"/>
            <w:r>
              <w:rPr>
                <w:rFonts w:ascii="Arial Narrow" w:eastAsia="Arial Narrow" w:hAnsi="Arial Narrow" w:cs="Arial Narrow"/>
                <w:b/>
                <w:i w:val="0"/>
                <w:strike w:val="0"/>
                <w:color w:val="000000"/>
                <w:sz w:val="16"/>
                <w:u w:val="none"/>
                <w:vertAlign w:val="baseline"/>
              </w:rPr>
              <w:t>15,518,120</w:t>
            </w:r>
            <w:bookmarkStart w:id="927" w:name="XBRL_CE_656bdca17b1e409fa97ce91ecb6ed91c"/>
            <w:bookmarkEnd w:id="926"/>
            <w:bookmarkEnd w:id="927"/>
          </w:p>
        </w:tc>
        <w:tc>
          <w:tcPr>
            <w:tcW w:w="1035"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928" w:name="XBRL_CS_dd49ed60b19e4a3e81c304b20a24b562"/>
            <w:bookmarkEnd w:id="928"/>
            <w:bookmarkStart w:id="929" w:name="dd49ed60b19e4a3e81c304b20a24b562"/>
            <w:r>
              <w:rPr>
                <w:rFonts w:ascii="Arial Narrow" w:eastAsia="Arial Narrow" w:hAnsi="Arial Narrow" w:cs="Arial Narrow"/>
                <w:b/>
                <w:i w:val="0"/>
                <w:strike w:val="0"/>
                <w:color w:val="000000"/>
                <w:sz w:val="16"/>
                <w:u w:val="none"/>
                <w:vertAlign w:val="baseline"/>
              </w:rPr>
              <w:t>13,746,037</w:t>
            </w:r>
            <w:bookmarkStart w:id="930" w:name="XBRL_CE_dd49ed60b19e4a3e81c304b20a24b562"/>
            <w:bookmarkEnd w:id="929"/>
            <w:bookmarkEnd w:id="930"/>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931" w:name="XBRL_CS_8e3789fc23784fdab318d880f7d036e5"/>
            <w:bookmarkEnd w:id="931"/>
            <w:bookmarkStart w:id="932" w:name="8e3789fc23784fdab318d880f7d036e5"/>
            <w:r>
              <w:rPr>
                <w:rFonts w:ascii="Arial Narrow" w:eastAsia="Arial Narrow" w:hAnsi="Arial Narrow" w:cs="Arial Narrow"/>
                <w:b/>
                <w:i w:val="0"/>
                <w:strike w:val="0"/>
                <w:color w:val="000000"/>
                <w:sz w:val="16"/>
                <w:u w:val="none"/>
                <w:vertAlign w:val="baseline"/>
              </w:rPr>
              <w:t>321,408</w:t>
            </w:r>
            <w:bookmarkStart w:id="933" w:name="XBRL_CE_8e3789fc23784fdab318d880f7d036e5"/>
            <w:bookmarkEnd w:id="932"/>
            <w:bookmarkEnd w:id="933"/>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934" w:name="XBRL_CS_028ec601137d4ae28c2a8a200cccedda"/>
            <w:bookmarkEnd w:id="934"/>
            <w:bookmarkStart w:id="935" w:name="028ec601137d4ae28c2a8a200cccedda"/>
            <w:r>
              <w:rPr>
                <w:rFonts w:ascii="Arial Narrow" w:eastAsia="Arial Narrow" w:hAnsi="Arial Narrow" w:cs="Arial Narrow"/>
                <w:b/>
                <w:i w:val="0"/>
                <w:strike w:val="0"/>
                <w:color w:val="000000"/>
                <w:sz w:val="16"/>
                <w:u w:val="none"/>
                <w:vertAlign w:val="baseline"/>
              </w:rPr>
              <w:t>14,067,445</w:t>
            </w:r>
            <w:bookmarkStart w:id="936" w:name="XBRL_CE_028ec601137d4ae28c2a8a200cccedda"/>
            <w:bookmarkEnd w:id="935"/>
            <w:bookmarkEnd w:id="936"/>
          </w:p>
        </w:tc>
      </w:tr>
    </w:tbl>
    <w:p>
      <w:pPr>
        <w:spacing w:before="0" w:beforeAutospacing="0" w:after="0" w:afterAutospacing="0" w:line="240" w:lineRule="auto"/>
        <w:rPr>
          <w:rFonts w:ascii="Arial Narrow" w:eastAsia="Arial Narrow" w:hAnsi="Arial Narrow" w:cs="Arial Narrow"/>
          <w:sz w:val="16"/>
        </w:rPr>
      </w:pPr>
    </w:p>
    <w:p w:rsidR="004721D0" w:rsidRPr="00CC307B" w:rsidP="004721D0" w14:textId="16FC2079">
      <w:pPr>
        <w:spacing w:after="0"/>
        <w:rPr>
          <w:rFonts w:ascii="Arial Narrow" w:eastAsia="Arial Narrow" w:hAnsi="Arial Narrow" w:cs="Arial Narrow"/>
          <w:sz w:val="16"/>
          <w:szCs w:val="16"/>
        </w:rPr>
      </w:pPr>
      <w:bookmarkStart w:id="937" w:name="RG_MARKER_6784"/>
      <w:r w:rsidRPr="00CC307B">
        <w:rPr>
          <w:rFonts w:ascii="Arial Narrow" w:eastAsia="Arial Narrow" w:hAnsi="Arial Narrow" w:cs="Arial Narrow"/>
          <w:sz w:val="16"/>
          <w:szCs w:val="16"/>
        </w:rPr>
        <w:t>Pielikums ir šo konsolidēto finanšu pārskatu neatņemama sastāvdaļa.</w:t>
      </w:r>
      <w:bookmarkEnd w:id="937"/>
    </w:p>
    <w:p w:rsidR="004721D0" w:rsidRPr="00CC307B" w:rsidP="004721D0" w14:textId="5E4797F4">
      <w:pPr>
        <w:spacing w:after="0"/>
        <w:rPr>
          <w:rFonts w:ascii="Arial Narrow" w:eastAsia="Arial Narrow" w:hAnsi="Arial Narrow" w:cs="Arial Narrow"/>
          <w:sz w:val="16"/>
          <w:szCs w:val="16"/>
        </w:rPr>
      </w:pPr>
    </w:p>
    <w:p w:rsidR="00FD1A23" w:rsidP="00FD1A23" w14:paraId="2469C896" w14:textId="2A7D6055">
      <w:pPr>
        <w:rPr>
          <w:rFonts w:ascii="Arial Narrow" w:eastAsia="Arial Narrow" w:hAnsi="Arial Narrow" w:cs="Arial Narrow"/>
          <w:sz w:val="16"/>
          <w:szCs w:val="16"/>
          <w:lang w:val="lv-LV"/>
        </w:rPr>
      </w:pPr>
      <w:r>
        <w:rPr>
          <w:rFonts w:ascii="Arial Narrow" w:eastAsia="Arial Narrow" w:hAnsi="Arial Narrow" w:cs="Arial Narrow"/>
          <w:sz w:val="16"/>
          <w:szCs w:val="16"/>
          <w:lang w:val="lv-LV"/>
        </w:rPr>
        <w:t>Koncerna vārdā 2022. gada 30</w:t>
      </w:r>
      <w:r>
        <w:rPr>
          <w:rFonts w:ascii="Arial Narrow" w:eastAsia="Arial Narrow" w:hAnsi="Arial Narrow" w:cs="Arial Narrow"/>
          <w:sz w:val="16"/>
          <w:szCs w:val="16"/>
          <w:lang w:val="lv-LV"/>
        </w:rPr>
        <w:t>. aprīlī konsolidētos finanšu pārskatus ir parakstījuši:</w:t>
      </w:r>
    </w:p>
    <w:p w:rsidR="00FD1A23" w:rsidP="00FD1A23" w14:paraId="0940D898" w14:textId="77777777">
      <w:pPr>
        <w:spacing w:after="0" w:line="360" w:lineRule="auto"/>
        <w:rPr>
          <w:rFonts w:ascii="Arial Narrow" w:eastAsia="Arial Narrow" w:hAnsi="Arial Narrow" w:cs="Arial Narrow"/>
          <w:sz w:val="16"/>
          <w:szCs w:val="16"/>
          <w:lang w:val="lv-LV"/>
        </w:rPr>
      </w:pPr>
      <w:r>
        <w:rPr>
          <w:rFonts w:ascii="Arial Narrow" w:eastAsia="Arial Narrow" w:hAnsi="Arial Narrow" w:cs="Arial Narrow"/>
          <w:sz w:val="16"/>
          <w:szCs w:val="16"/>
          <w:lang w:val="lv-LV"/>
        </w:rPr>
        <w:t>Krišjānis Znotiņš, Valdes priekšsēdētājs</w:t>
      </w:r>
    </w:p>
    <w:p w:rsidR="00FD1A23" w:rsidP="00FD1A23" w14:paraId="17C1F83E" w14:textId="77777777">
      <w:pPr>
        <w:spacing w:after="0" w:line="360" w:lineRule="auto"/>
        <w:rPr>
          <w:rFonts w:ascii="Arial Narrow" w:eastAsia="Arial Narrow" w:hAnsi="Arial Narrow" w:cs="Arial Narrow"/>
          <w:sz w:val="16"/>
          <w:szCs w:val="16"/>
          <w:lang w:val="lv-LV"/>
        </w:rPr>
      </w:pPr>
      <w:r>
        <w:rPr>
          <w:rFonts w:ascii="Arial Narrow" w:eastAsia="Arial Narrow" w:hAnsi="Arial Narrow" w:cs="Arial Narrow"/>
          <w:sz w:val="16"/>
          <w:szCs w:val="16"/>
          <w:lang w:val="lv-LV"/>
        </w:rPr>
        <w:t>Aivis Lonskis, Valdes loceklis</w:t>
      </w:r>
    </w:p>
    <w:p w:rsidR="00FD1A23" w:rsidP="00FD1A23" w14:paraId="075D1EC5" w14:textId="77777777">
      <w:pPr>
        <w:spacing w:after="0" w:line="360" w:lineRule="auto"/>
        <w:rPr>
          <w:rFonts w:ascii="Arial Narrow" w:eastAsia="Arial Narrow" w:hAnsi="Arial Narrow" w:cs="Arial Narrow"/>
          <w:sz w:val="16"/>
          <w:szCs w:val="16"/>
          <w:lang w:val="lv-LV"/>
        </w:rPr>
      </w:pPr>
      <w:r>
        <w:rPr>
          <w:rFonts w:ascii="Arial Narrow" w:eastAsia="Arial Narrow" w:hAnsi="Arial Narrow" w:cs="Arial Narrow"/>
          <w:sz w:val="16"/>
          <w:szCs w:val="16"/>
          <w:lang w:val="lv-LV"/>
        </w:rPr>
        <w:t xml:space="preserve">Laura Bunkša, Galvenā </w:t>
      </w:r>
      <w:r>
        <w:rPr>
          <w:rFonts w:ascii="Arial Narrow" w:eastAsia="Arial Narrow" w:hAnsi="Arial Narrow" w:cs="Arial Narrow"/>
          <w:sz w:val="16"/>
          <w:szCs w:val="16"/>
          <w:lang w:val="lv-LV"/>
        </w:rPr>
        <w:t>grāmatvede</w:t>
      </w:r>
    </w:p>
    <w:p w:rsidR="004721D0" w:rsidP="004721D0" w14:paraId="35CA5B22" w14:textId="2CFA750A">
      <w:pPr>
        <w:spacing w:after="0"/>
        <w:rPr>
          <w:rFonts w:ascii="Arial Narrow" w:eastAsia="Arial Narrow" w:hAnsi="Arial Narrow" w:cs="Arial Narrow"/>
          <w:sz w:val="16"/>
          <w:szCs w:val="16"/>
        </w:rPr>
      </w:pPr>
    </w:p>
    <w:p w:rsidR="005E4E41" w:rsidRPr="00CC307B" w:rsidP="004721D0" w14:paraId="1F68C678" w14:textId="77777777">
      <w:pPr>
        <w:spacing w:after="0"/>
        <w:rPr>
          <w:rFonts w:ascii="Arial Narrow" w:eastAsia="Arial Narrow" w:hAnsi="Arial Narrow" w:cs="Arial Narrow"/>
          <w:sz w:val="16"/>
          <w:szCs w:val="16"/>
        </w:rPr>
      </w:pPr>
    </w:p>
    <w:p w:rsidR="00777F05" w:rsidRPr="00CC307B" w:rsidP="004721D0" w14:textId="445C550C">
      <w:pPr>
        <w:spacing w:after="0"/>
        <w:jc w:val="center"/>
        <w:rPr>
          <w:rFonts w:ascii="Arial Narrow" w:eastAsia="Arial Narrow" w:hAnsi="Arial Narrow" w:cs="Arial Narrow"/>
          <w:sz w:val="16"/>
          <w:szCs w:val="16"/>
        </w:rPr>
      </w:pPr>
      <w:r w:rsidRPr="00CC307B">
        <w:rPr>
          <w:rFonts w:ascii="Arial Narrow" w:eastAsia="Arial Narrow" w:hAnsi="Arial Narrow" w:cs="Arial Narrow"/>
          <w:sz w:val="16"/>
          <w:szCs w:val="16"/>
        </w:rPr>
        <w:t>ŠIS DOKUMENTS IR PARAKSTĪTS AR DROŠU ELEKTRONISKO PARAKSTU UN SATUR LAIKA ZĪMOGU</w:t>
      </w:r>
    </w:p>
    <w:tbl>
      <w:tblPr>
        <w:tblStyle w:val="CDMRange1"/>
        <w:tblW w:w="9450" w:type="dxa"/>
        <w:tblLayout w:type="fixed"/>
        <w:tblLook w:val="0600"/>
      </w:tblPr>
      <w:tblGrid>
        <w:gridCol w:w="5400"/>
        <w:gridCol w:w="750"/>
        <w:gridCol w:w="1650"/>
        <w:gridCol w:w="1650"/>
      </w:tblGrid>
      <w:tr>
        <w:tblPrEx>
          <w:tblW w:w="9450" w:type="dxa"/>
          <w:tblLayout w:type="fixed"/>
          <w:tblLook w:val="0600"/>
        </w:tblPrEx>
        <w:trPr>
          <w:cantSplit/>
          <w:trHeight w:hRule="exact" w:val="255"/>
        </w:trPr>
        <w:tc>
          <w:tcPr>
            <w:tcW w:w="9450" w:type="dxa"/>
            <w:gridSpan w:val="4"/>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keepNext/>
              <w:pageBreakBefore/>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Konsolidētais naudas plūsmas pārskats</w:t>
            </w:r>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163"/>
        </w:trPr>
        <w:tc>
          <w:tcPr>
            <w:tcW w:w="54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7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163"/>
        </w:trPr>
        <w:tc>
          <w:tcPr>
            <w:tcW w:w="54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7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6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7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2021</w:t>
            </w:r>
          </w:p>
        </w:tc>
        <w:tc>
          <w:tcPr>
            <w:tcW w:w="16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2020</w:t>
            </w:r>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Pamatdarbības naudas plūsma</w:t>
            </w:r>
          </w:p>
        </w:tc>
        <w:tc>
          <w:tcPr>
            <w:tcW w:w="7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Pielikums</w:t>
            </w:r>
          </w:p>
        </w:tc>
        <w:tc>
          <w:tcPr>
            <w:tcW w:w="16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16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Pārskata gada peļņa pirms nodokļiem</w:t>
            </w:r>
          </w:p>
        </w:tc>
        <w:tc>
          <w:tcPr>
            <w:tcW w:w="7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38" w:name="XBRL_CS_1f40a61927084377aed86e31a486be9f"/>
            <w:bookmarkEnd w:id="938"/>
            <w:bookmarkStart w:id="939" w:name="1f40a61927084377aed86e31a486be9f"/>
            <w:r>
              <w:rPr>
                <w:rFonts w:ascii="Arial Narrow" w:eastAsia="Arial Narrow" w:hAnsi="Arial Narrow" w:cs="Arial Narrow"/>
                <w:b w:val="0"/>
                <w:i w:val="0"/>
                <w:strike w:val="0"/>
                <w:color w:val="000000"/>
                <w:sz w:val="16"/>
                <w:u w:val="none"/>
                <w:vertAlign w:val="baseline"/>
              </w:rPr>
              <w:t>5,556,933</w:t>
            </w:r>
            <w:bookmarkStart w:id="940" w:name="XBRL_CE_1f40a61927084377aed86e31a486be9f"/>
            <w:bookmarkEnd w:id="939"/>
            <w:bookmarkEnd w:id="940"/>
          </w:p>
        </w:tc>
        <w:tc>
          <w:tcPr>
            <w:tcW w:w="16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41" w:name="XBRL_CS_ef94a64e1fcd465b9edd4f4484f2c706"/>
            <w:bookmarkEnd w:id="941"/>
            <w:bookmarkStart w:id="942" w:name="ef94a64e1fcd465b9edd4f4484f2c706"/>
            <w:r>
              <w:rPr>
                <w:rFonts w:ascii="Arial Narrow" w:eastAsia="Arial Narrow" w:hAnsi="Arial Narrow" w:cs="Arial Narrow"/>
                <w:b w:val="0"/>
                <w:i w:val="0"/>
                <w:strike w:val="0"/>
                <w:color w:val="000000"/>
                <w:sz w:val="16"/>
                <w:u w:val="none"/>
                <w:vertAlign w:val="baseline"/>
              </w:rPr>
              <w:t>5,565,879</w:t>
            </w:r>
            <w:bookmarkStart w:id="943" w:name="XBRL_CE_ef94a64e1fcd465b9edd4f4484f2c706"/>
            <w:bookmarkEnd w:id="942"/>
            <w:bookmarkEnd w:id="943"/>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Korekcijas:</w:t>
            </w:r>
          </w:p>
        </w:tc>
        <w:tc>
          <w:tcPr>
            <w:tcW w:w="7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Nemateriālo ieguldījumu un pamatlīdzekļu nolietojums</w:t>
            </w:r>
          </w:p>
        </w:tc>
        <w:tc>
          <w:tcPr>
            <w:tcW w:w="7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16, 17</w:t>
            </w:r>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44" w:name="XBRL_CS_0740888ec1c142859c55d296bf7db552"/>
            <w:bookmarkEnd w:id="944"/>
            <w:bookmarkStart w:id="945" w:name="0740888ec1c142859c55d296bf7db552"/>
            <w:r>
              <w:rPr>
                <w:rFonts w:ascii="Arial Narrow" w:eastAsia="Arial Narrow" w:hAnsi="Arial Narrow" w:cs="Arial Narrow"/>
                <w:b w:val="0"/>
                <w:i w:val="0"/>
                <w:strike w:val="0"/>
                <w:color w:val="000000"/>
                <w:sz w:val="16"/>
                <w:u w:val="none"/>
                <w:vertAlign w:val="baseline"/>
              </w:rPr>
              <w:t>2,503,566</w:t>
            </w:r>
            <w:bookmarkStart w:id="946" w:name="XBRL_CE_0740888ec1c142859c55d296bf7db552"/>
            <w:bookmarkEnd w:id="945"/>
            <w:bookmarkEnd w:id="946"/>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47" w:name="XBRL_CS_2cac4a388e85456c80232768f7f1b547"/>
            <w:bookmarkEnd w:id="947"/>
            <w:bookmarkStart w:id="948" w:name="2cac4a388e85456c80232768f7f1b547"/>
            <w:r>
              <w:rPr>
                <w:rFonts w:ascii="Arial Narrow" w:eastAsia="Arial Narrow" w:hAnsi="Arial Narrow" w:cs="Arial Narrow"/>
                <w:b w:val="0"/>
                <w:i w:val="0"/>
                <w:strike w:val="0"/>
                <w:color w:val="000000"/>
                <w:sz w:val="16"/>
                <w:u w:val="none"/>
                <w:vertAlign w:val="baseline"/>
              </w:rPr>
              <w:t>2,484,246</w:t>
            </w:r>
            <w:bookmarkStart w:id="949" w:name="XBRL_CE_2cac4a388e85456c80232768f7f1b547"/>
            <w:bookmarkEnd w:id="948"/>
            <w:bookmarkEnd w:id="949"/>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Procentu izdevumi</w:t>
            </w:r>
          </w:p>
        </w:tc>
        <w:tc>
          <w:tcPr>
            <w:tcW w:w="7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w:t>
            </w:r>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50" w:name="XBRL_CS_22e2add21daa4734a8473fca98ef81c4"/>
            <w:bookmarkEnd w:id="950"/>
            <w:bookmarkStart w:id="951" w:name="22e2add21daa4734a8473fca98ef81c4"/>
            <w:r>
              <w:rPr>
                <w:rFonts w:ascii="Arial Narrow" w:eastAsia="Arial Narrow" w:hAnsi="Arial Narrow" w:cs="Arial Narrow"/>
                <w:b w:val="0"/>
                <w:i w:val="0"/>
                <w:strike w:val="0"/>
                <w:color w:val="000000"/>
                <w:sz w:val="16"/>
                <w:u w:val="none"/>
                <w:vertAlign w:val="baseline"/>
              </w:rPr>
              <w:t>4,517,067</w:t>
            </w:r>
            <w:bookmarkStart w:id="952" w:name="XBRL_CE_22e2add21daa4734a8473fca98ef81c4"/>
            <w:bookmarkEnd w:id="951"/>
            <w:bookmarkEnd w:id="952"/>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53" w:name="XBRL_CS_45b90917bde8406ea795b586339c89db"/>
            <w:bookmarkEnd w:id="953"/>
            <w:bookmarkStart w:id="954" w:name="45b90917bde8406ea795b586339c89db"/>
            <w:r>
              <w:rPr>
                <w:rFonts w:ascii="Arial Narrow" w:eastAsia="Arial Narrow" w:hAnsi="Arial Narrow" w:cs="Arial Narrow"/>
                <w:b w:val="0"/>
                <w:i w:val="0"/>
                <w:strike w:val="0"/>
                <w:color w:val="000000"/>
                <w:sz w:val="16"/>
                <w:u w:val="none"/>
                <w:vertAlign w:val="baseline"/>
              </w:rPr>
              <w:t>4,549,068</w:t>
            </w:r>
            <w:bookmarkStart w:id="955" w:name="XBRL_CE_45b90917bde8406ea795b586339c89db"/>
            <w:bookmarkEnd w:id="954"/>
            <w:bookmarkEnd w:id="955"/>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Procentu ieņēmumi</w:t>
            </w:r>
          </w:p>
        </w:tc>
        <w:tc>
          <w:tcPr>
            <w:tcW w:w="7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w:t>
            </w:r>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56" w:name="XBRL_CS_31a9ec0798834cd7a061c19aad3c22c9"/>
            <w:bookmarkEnd w:id="956"/>
            <w:bookmarkStart w:id="957" w:name="31a9ec0798834cd7a061c19aad3c22c9"/>
            <w:r>
              <w:rPr>
                <w:rFonts w:ascii="Arial Narrow" w:eastAsia="Arial Narrow" w:hAnsi="Arial Narrow" w:cs="Arial Narrow"/>
                <w:b w:val="0"/>
                <w:i w:val="0"/>
                <w:strike w:val="0"/>
                <w:color w:val="000000"/>
                <w:sz w:val="16"/>
                <w:u w:val="none"/>
                <w:vertAlign w:val="baseline"/>
              </w:rPr>
              <w:t>(6,951,645)</w:t>
            </w:r>
            <w:bookmarkStart w:id="958" w:name="XBRL_CE_31a9ec0798834cd7a061c19aad3c22c9"/>
            <w:bookmarkEnd w:id="957"/>
            <w:bookmarkEnd w:id="958"/>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59" w:name="XBRL_CS_e731430b162340d2806076edd9bc3e27"/>
            <w:bookmarkEnd w:id="959"/>
            <w:bookmarkStart w:id="960" w:name="e731430b162340d2806076edd9bc3e27"/>
            <w:r>
              <w:rPr>
                <w:rFonts w:ascii="Arial Narrow" w:eastAsia="Arial Narrow" w:hAnsi="Arial Narrow" w:cs="Arial Narrow"/>
                <w:b w:val="0"/>
                <w:i w:val="0"/>
                <w:strike w:val="0"/>
                <w:color w:val="000000"/>
                <w:sz w:val="16"/>
                <w:u w:val="none"/>
                <w:vertAlign w:val="baseline"/>
              </w:rPr>
              <w:t>(9,880,509)</w:t>
            </w:r>
            <w:bookmarkStart w:id="961" w:name="XBRL_CE_e731430b162340d2806076edd9bc3e27"/>
            <w:bookmarkEnd w:id="960"/>
            <w:bookmarkEnd w:id="961"/>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Nomas autoparka atsavināšana</w:t>
            </w:r>
          </w:p>
        </w:tc>
        <w:tc>
          <w:tcPr>
            <w:tcW w:w="75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62" w:name="XBRL_CS_551da0bb45e44b61970f5ac3fe13a166"/>
            <w:bookmarkEnd w:id="962"/>
            <w:bookmarkStart w:id="963" w:name="551da0bb45e44b61970f5ac3fe13a166"/>
            <w:r>
              <w:rPr>
                <w:rFonts w:ascii="Arial Narrow" w:eastAsia="Arial Narrow" w:hAnsi="Arial Narrow" w:cs="Arial Narrow"/>
                <w:b w:val="0"/>
                <w:i w:val="0"/>
                <w:strike w:val="0"/>
                <w:color w:val="000000"/>
                <w:sz w:val="16"/>
                <w:u w:val="none"/>
                <w:vertAlign w:val="baseline"/>
              </w:rPr>
              <w:t>1,087,247</w:t>
            </w:r>
            <w:bookmarkStart w:id="964" w:name="XBRL_CE_551da0bb45e44b61970f5ac3fe13a166"/>
            <w:bookmarkEnd w:id="963"/>
            <w:bookmarkEnd w:id="964"/>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65" w:name="XBRL_CS_587f411d7f8b4be1a237a94db110a8c4"/>
            <w:bookmarkEnd w:id="965"/>
            <w:bookmarkStart w:id="966" w:name="587f411d7f8b4be1a237a94db110a8c4"/>
            <w:r>
              <w:rPr>
                <w:rFonts w:ascii="Arial Narrow" w:eastAsia="Arial Narrow" w:hAnsi="Arial Narrow" w:cs="Arial Narrow"/>
                <w:b w:val="0"/>
                <w:i w:val="0"/>
                <w:strike w:val="0"/>
                <w:color w:val="000000"/>
                <w:sz w:val="16"/>
                <w:u w:val="none"/>
                <w:vertAlign w:val="baseline"/>
              </w:rPr>
              <w:t>1,958,372</w:t>
            </w:r>
            <w:bookmarkStart w:id="967" w:name="XBRL_CE_587f411d7f8b4be1a237a94db110a8c4"/>
            <w:bookmarkEnd w:id="966"/>
            <w:bookmarkEnd w:id="967"/>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Zaudējumi no pamatlīdzekļu izslēgšanas</w:t>
            </w:r>
          </w:p>
        </w:tc>
        <w:tc>
          <w:tcPr>
            <w:tcW w:w="75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68" w:name="XBRL_CS_18fc24514266413495c78d2a196b3d2e"/>
            <w:bookmarkEnd w:id="968"/>
            <w:bookmarkStart w:id="969" w:name="18fc24514266413495c78d2a196b3d2e"/>
            <w:r>
              <w:rPr>
                <w:rFonts w:ascii="Arial Narrow" w:eastAsia="Arial Narrow" w:hAnsi="Arial Narrow" w:cs="Arial Narrow"/>
                <w:b w:val="0"/>
                <w:i w:val="0"/>
                <w:strike w:val="0"/>
                <w:color w:val="000000"/>
                <w:sz w:val="16"/>
                <w:u w:val="none"/>
                <w:vertAlign w:val="baseline"/>
              </w:rPr>
              <w:t>(1,808)</w:t>
            </w:r>
            <w:bookmarkStart w:id="970" w:name="XBRL_CE_18fc24514266413495c78d2a196b3d2e"/>
            <w:bookmarkEnd w:id="969"/>
            <w:bookmarkEnd w:id="970"/>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71" w:name="XBRL_CS_c59ce1b32e074a2d9b62a20b026147f5"/>
            <w:bookmarkEnd w:id="971"/>
            <w:bookmarkStart w:id="972" w:name="c59ce1b32e074a2d9b62a20b026147f5"/>
            <w:r>
              <w:rPr>
                <w:rFonts w:ascii="Arial Narrow" w:eastAsia="Arial Narrow" w:hAnsi="Arial Narrow" w:cs="Arial Narrow"/>
                <w:b w:val="0"/>
                <w:i w:val="0"/>
                <w:strike w:val="0"/>
                <w:color w:val="000000"/>
                <w:sz w:val="16"/>
                <w:u w:val="none"/>
                <w:vertAlign w:val="baseline"/>
              </w:rPr>
              <w:t>6,306</w:t>
            </w:r>
            <w:bookmarkStart w:id="973" w:name="XBRL_CE_c59ce1b32e074a2d9b62a20b026147f5"/>
            <w:bookmarkEnd w:id="972"/>
            <w:bookmarkEnd w:id="973"/>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Vērtības samazinājums</w:t>
            </w:r>
          </w:p>
        </w:tc>
        <w:tc>
          <w:tcPr>
            <w:tcW w:w="7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8</w:t>
            </w:r>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74" w:name="XBRL_CS_02fad5bd4994474290d254cb0cf16cb5"/>
            <w:bookmarkEnd w:id="974"/>
            <w:bookmarkStart w:id="975" w:name="02fad5bd4994474290d254cb0cf16cb5"/>
            <w:r>
              <w:rPr>
                <w:rFonts w:ascii="Arial Narrow" w:eastAsia="Arial Narrow" w:hAnsi="Arial Narrow" w:cs="Arial Narrow"/>
                <w:b w:val="0"/>
                <w:i w:val="0"/>
                <w:strike w:val="0"/>
                <w:color w:val="000000"/>
                <w:sz w:val="16"/>
                <w:u w:val="none"/>
                <w:vertAlign w:val="baseline"/>
              </w:rPr>
              <w:t>1,847,759</w:t>
            </w:r>
            <w:bookmarkStart w:id="976" w:name="XBRL_CE_02fad5bd4994474290d254cb0cf16cb5"/>
            <w:bookmarkEnd w:id="975"/>
            <w:bookmarkEnd w:id="976"/>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77" w:name="XBRL_CS_252f08b7965d4f0f95dda8d239aa7650"/>
            <w:bookmarkEnd w:id="977"/>
            <w:bookmarkStart w:id="978" w:name="252f08b7965d4f0f95dda8d239aa7650"/>
            <w:r>
              <w:rPr>
                <w:rFonts w:ascii="Arial Narrow" w:eastAsia="Arial Narrow" w:hAnsi="Arial Narrow" w:cs="Arial Narrow"/>
                <w:b w:val="0"/>
                <w:i w:val="0"/>
                <w:strike w:val="0"/>
                <w:color w:val="000000"/>
                <w:sz w:val="16"/>
                <w:u w:val="none"/>
                <w:vertAlign w:val="baseline"/>
              </w:rPr>
              <w:t>2,156,835</w:t>
            </w:r>
            <w:bookmarkStart w:id="979" w:name="XBRL_CE_252f08b7965d4f0f95dda8d239aa7650"/>
            <w:bookmarkEnd w:id="978"/>
            <w:bookmarkEnd w:id="979"/>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Finanšu garantijas</w:t>
            </w:r>
          </w:p>
        </w:tc>
        <w:tc>
          <w:tcPr>
            <w:tcW w:w="7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39</w:t>
            </w:r>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80" w:name="XBRL_CS_74b133dfa3664171ab1c0cc5353561a1"/>
            <w:bookmarkEnd w:id="980"/>
            <w:bookmarkStart w:id="981" w:name="74b133dfa3664171ab1c0cc5353561a1"/>
            <w:r>
              <w:rPr>
                <w:rFonts w:ascii="Arial Narrow" w:eastAsia="Arial Narrow" w:hAnsi="Arial Narrow" w:cs="Arial Narrow"/>
                <w:b w:val="0"/>
                <w:i w:val="0"/>
                <w:strike w:val="0"/>
                <w:color w:val="000000"/>
                <w:sz w:val="16"/>
                <w:u w:val="none"/>
                <w:vertAlign w:val="baseline"/>
              </w:rPr>
              <w:t>(1,216,319)</w:t>
            </w:r>
            <w:bookmarkStart w:id="982" w:name="XBRL_CE_74b133dfa3664171ab1c0cc5353561a1"/>
            <w:bookmarkEnd w:id="981"/>
            <w:bookmarkEnd w:id="982"/>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83" w:name="XBRL_CS_1edb0480d3ec47d6835316f4144399ae"/>
            <w:bookmarkEnd w:id="983"/>
            <w:bookmarkStart w:id="984" w:name="1edb0480d3ec47d6835316f4144399ae"/>
            <w:r>
              <w:rPr>
                <w:rFonts w:ascii="Arial Narrow" w:eastAsia="Arial Narrow" w:hAnsi="Arial Narrow" w:cs="Arial Narrow"/>
                <w:b w:val="0"/>
                <w:i w:val="0"/>
                <w:strike w:val="0"/>
                <w:color w:val="000000"/>
                <w:sz w:val="16"/>
                <w:u w:val="none"/>
                <w:vertAlign w:val="baseline"/>
              </w:rPr>
              <w:t>(1,644,583)</w:t>
            </w:r>
            <w:bookmarkStart w:id="985" w:name="XBRL_CE_1edb0480d3ec47d6835316f4144399ae"/>
            <w:bookmarkEnd w:id="984"/>
            <w:bookmarkEnd w:id="985"/>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Zaudējumi no nomas autoparka</w:t>
            </w:r>
          </w:p>
        </w:tc>
        <w:tc>
          <w:tcPr>
            <w:tcW w:w="7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86" w:name="XBRL_CS_8b02b24297784cb39f2af70a9184010c"/>
            <w:bookmarkEnd w:id="986"/>
            <w:bookmarkStart w:id="987" w:name="8b02b24297784cb39f2af70a9184010c"/>
            <w:r>
              <w:rPr>
                <w:rFonts w:ascii="Arial Narrow" w:eastAsia="Arial Narrow" w:hAnsi="Arial Narrow" w:cs="Arial Narrow"/>
                <w:b w:val="0"/>
                <w:i w:val="0"/>
                <w:strike w:val="0"/>
                <w:color w:val="000000"/>
                <w:sz w:val="16"/>
                <w:u w:val="none"/>
                <w:vertAlign w:val="baseline"/>
              </w:rPr>
              <w:t>138,405</w:t>
            </w:r>
            <w:bookmarkStart w:id="988" w:name="XBRL_CE_8b02b24297784cb39f2af70a9184010c"/>
            <w:bookmarkEnd w:id="987"/>
            <w:bookmarkEnd w:id="988"/>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89" w:name="XBRL_CS_b39c66ea43fb4f6cb53ab6be8f061b69"/>
            <w:bookmarkEnd w:id="989"/>
            <w:bookmarkStart w:id="990" w:name="b39c66ea43fb4f6cb53ab6be8f061b69"/>
            <w:r>
              <w:rPr>
                <w:rFonts w:ascii="Arial Narrow" w:eastAsia="Arial Narrow" w:hAnsi="Arial Narrow" w:cs="Arial Narrow"/>
                <w:b w:val="0"/>
                <w:i w:val="0"/>
                <w:strike w:val="0"/>
                <w:color w:val="000000"/>
                <w:sz w:val="16"/>
                <w:u w:val="none"/>
                <w:vertAlign w:val="baseline"/>
              </w:rPr>
              <w:t>-</w:t>
            </w:r>
            <w:bookmarkStart w:id="991" w:name="XBRL_CE_b39c66ea43fb4f6cb53ab6be8f061b69"/>
            <w:bookmarkEnd w:id="990"/>
            <w:bookmarkEnd w:id="991"/>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 xml:space="preserve">       Saimnieciskās darbības peļņa pirms apgrozāmā kapitāla izmaiņām</w:t>
            </w:r>
          </w:p>
        </w:tc>
        <w:tc>
          <w:tcPr>
            <w:tcW w:w="7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992" w:name="XBRL_CS_2c59d6c3ebb6400c996fb41d0be54e8b"/>
            <w:bookmarkEnd w:id="992"/>
            <w:bookmarkStart w:id="993" w:name="2c59d6c3ebb6400c996fb41d0be54e8b"/>
            <w:r>
              <w:rPr>
                <w:rFonts w:ascii="Arial Narrow" w:eastAsia="Arial Narrow" w:hAnsi="Arial Narrow" w:cs="Arial Narrow"/>
                <w:b/>
                <w:i w:val="0"/>
                <w:strike w:val="0"/>
                <w:color w:val="000000"/>
                <w:sz w:val="16"/>
                <w:u w:val="none"/>
                <w:vertAlign w:val="baseline"/>
              </w:rPr>
              <w:t>7,481,204</w:t>
            </w:r>
            <w:bookmarkStart w:id="994" w:name="XBRL_CE_2c59d6c3ebb6400c996fb41d0be54e8b"/>
            <w:bookmarkEnd w:id="993"/>
            <w:bookmarkEnd w:id="994"/>
          </w:p>
        </w:tc>
        <w:tc>
          <w:tcPr>
            <w:tcW w:w="16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995" w:name="XBRL_CS_072e9bb4970046b48a8043560df3ef98"/>
            <w:bookmarkEnd w:id="995"/>
            <w:bookmarkStart w:id="996" w:name="072e9bb4970046b48a8043560df3ef98"/>
            <w:r>
              <w:rPr>
                <w:rFonts w:ascii="Arial Narrow" w:eastAsia="Arial Narrow" w:hAnsi="Arial Narrow" w:cs="Arial Narrow"/>
                <w:b/>
                <w:i w:val="0"/>
                <w:strike w:val="0"/>
                <w:color w:val="000000"/>
                <w:sz w:val="16"/>
                <w:u w:val="none"/>
                <w:vertAlign w:val="baseline"/>
              </w:rPr>
              <w:t>5,195,614</w:t>
            </w:r>
            <w:bookmarkStart w:id="997" w:name="XBRL_CE_072e9bb4970046b48a8043560df3ef98"/>
            <w:bookmarkEnd w:id="996"/>
            <w:bookmarkEnd w:id="997"/>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490"/>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No finanšu nomas izrietošo prasību, kredītu un izsniegtu avansu un pārējo debitoru parādu samazinājums</w:t>
            </w:r>
          </w:p>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atlikumu samazinājums/(pieaugums)</w:t>
            </w:r>
          </w:p>
        </w:tc>
        <w:tc>
          <w:tcPr>
            <w:tcW w:w="7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998" w:name="XBRL_CS_39217405dc22495c84080b3eda2ca79b"/>
            <w:bookmarkEnd w:id="998"/>
            <w:bookmarkStart w:id="999" w:name="39217405dc22495c84080b3eda2ca79b"/>
            <w:r>
              <w:rPr>
                <w:rFonts w:ascii="Arial Narrow" w:eastAsia="Arial Narrow" w:hAnsi="Arial Narrow" w:cs="Arial Narrow"/>
                <w:b w:val="0"/>
                <w:i w:val="0"/>
                <w:strike w:val="0"/>
                <w:color w:val="000000"/>
                <w:sz w:val="16"/>
                <w:u w:val="none"/>
                <w:vertAlign w:val="baseline"/>
              </w:rPr>
              <w:t>3,460,381</w:t>
            </w:r>
            <w:bookmarkStart w:id="1000" w:name="XBRL_CE_39217405dc22495c84080b3eda2ca79b"/>
            <w:bookmarkEnd w:id="999"/>
            <w:bookmarkEnd w:id="1000"/>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01" w:name="XBRL_CS_40613de384b7473db7578927bde1b7bb"/>
            <w:bookmarkEnd w:id="1001"/>
            <w:bookmarkStart w:id="1002" w:name="40613de384b7473db7578927bde1b7bb"/>
            <w:r>
              <w:rPr>
                <w:rFonts w:ascii="Arial Narrow" w:eastAsia="Arial Narrow" w:hAnsi="Arial Narrow" w:cs="Arial Narrow"/>
                <w:b w:val="0"/>
                <w:i w:val="0"/>
                <w:strike w:val="0"/>
                <w:color w:val="000000"/>
                <w:sz w:val="16"/>
                <w:u w:val="none"/>
                <w:vertAlign w:val="baseline"/>
              </w:rPr>
              <w:t>6,954,555</w:t>
            </w:r>
            <w:bookmarkStart w:id="1003" w:name="XBRL_CE_40613de384b7473db7578927bde1b7bb"/>
            <w:bookmarkEnd w:id="1002"/>
            <w:bookmarkEnd w:id="1003"/>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Saņemto avansu, parādu piegādātājiem un darbuzņēmējiem un garantiju atlikumu pieaugums</w:t>
            </w:r>
          </w:p>
        </w:tc>
        <w:tc>
          <w:tcPr>
            <w:tcW w:w="7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04" w:name="XBRL_CS_0c16432cd98d45e29573011742b64d75"/>
            <w:bookmarkEnd w:id="1004"/>
            <w:bookmarkStart w:id="1005" w:name="0c16432cd98d45e29573011742b64d75"/>
            <w:r>
              <w:rPr>
                <w:rFonts w:ascii="Arial Narrow" w:eastAsia="Arial Narrow" w:hAnsi="Arial Narrow" w:cs="Arial Narrow"/>
                <w:b w:val="0"/>
                <w:i w:val="0"/>
                <w:strike w:val="0"/>
                <w:color w:val="000000"/>
                <w:sz w:val="16"/>
                <w:u w:val="none"/>
                <w:vertAlign w:val="baseline"/>
              </w:rPr>
              <w:t>908,551</w:t>
            </w:r>
            <w:bookmarkStart w:id="1006" w:name="XBRL_CE_0c16432cd98d45e29573011742b64d75"/>
            <w:bookmarkEnd w:id="1005"/>
            <w:bookmarkEnd w:id="1006"/>
          </w:p>
        </w:tc>
        <w:tc>
          <w:tcPr>
            <w:tcW w:w="16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07" w:name="XBRL_CS_dde9e42939a047c693214f94f79dc11c"/>
            <w:bookmarkEnd w:id="1007"/>
            <w:bookmarkStart w:id="1008" w:name="dde9e42939a047c693214f94f79dc11c"/>
            <w:r>
              <w:rPr>
                <w:rFonts w:ascii="Arial Narrow" w:eastAsia="Arial Narrow" w:hAnsi="Arial Narrow" w:cs="Arial Narrow"/>
                <w:b w:val="0"/>
                <w:i w:val="0"/>
                <w:strike w:val="0"/>
                <w:color w:val="000000"/>
                <w:sz w:val="16"/>
                <w:u w:val="none"/>
                <w:vertAlign w:val="baseline"/>
              </w:rPr>
              <w:t>1,791,152</w:t>
            </w:r>
            <w:bookmarkStart w:id="1009" w:name="XBRL_CE_dde9e42939a047c693214f94f79dc11c"/>
            <w:bookmarkEnd w:id="1008"/>
            <w:bookmarkEnd w:id="1009"/>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 xml:space="preserve">       Naudas plūsma no saimnieciskās darbības</w:t>
            </w:r>
          </w:p>
        </w:tc>
        <w:tc>
          <w:tcPr>
            <w:tcW w:w="7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strike w:val="0"/>
                <w:color w:val="000000"/>
                <w:sz w:val="16"/>
                <w:u w:val="none"/>
                <w:vertAlign w:val="baseline"/>
              </w:rPr>
            </w:pPr>
          </w:p>
        </w:tc>
        <w:tc>
          <w:tcPr>
            <w:tcW w:w="16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010" w:name="XBRL_CS_97d79cc1f4c24a83a3711548ddd68136"/>
            <w:bookmarkEnd w:id="1010"/>
            <w:bookmarkStart w:id="1011" w:name="97d79cc1f4c24a83a3711548ddd68136"/>
            <w:r>
              <w:rPr>
                <w:rFonts w:ascii="Arial Narrow" w:eastAsia="Arial Narrow" w:hAnsi="Arial Narrow" w:cs="Arial Narrow"/>
                <w:b/>
                <w:i w:val="0"/>
                <w:strike w:val="0"/>
                <w:color w:val="000000"/>
                <w:sz w:val="16"/>
                <w:u w:val="none"/>
                <w:vertAlign w:val="baseline"/>
              </w:rPr>
              <w:t>11,850,137</w:t>
            </w:r>
            <w:bookmarkStart w:id="1012" w:name="XBRL_CE_97d79cc1f4c24a83a3711548ddd68136"/>
            <w:bookmarkEnd w:id="1011"/>
            <w:bookmarkEnd w:id="1012"/>
          </w:p>
        </w:tc>
        <w:tc>
          <w:tcPr>
            <w:tcW w:w="16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013" w:name="XBRL_CS_9cf7f4bc046a4187ab66adec046e5b40"/>
            <w:bookmarkEnd w:id="1013"/>
            <w:bookmarkStart w:id="1014" w:name="9cf7f4bc046a4187ab66adec046e5b40"/>
            <w:r>
              <w:rPr>
                <w:rFonts w:ascii="Arial Narrow" w:eastAsia="Arial Narrow" w:hAnsi="Arial Narrow" w:cs="Arial Narrow"/>
                <w:b/>
                <w:i w:val="0"/>
                <w:strike w:val="0"/>
                <w:color w:val="000000"/>
                <w:sz w:val="16"/>
                <w:u w:val="none"/>
                <w:vertAlign w:val="baseline"/>
              </w:rPr>
              <w:t>13,941,321</w:t>
            </w:r>
            <w:bookmarkStart w:id="1015" w:name="XBRL_CE_9cf7f4bc046a4187ab66adec046e5b40"/>
            <w:bookmarkEnd w:id="1014"/>
            <w:bookmarkEnd w:id="1015"/>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Saņemti procenti</w:t>
            </w:r>
          </w:p>
        </w:tc>
        <w:tc>
          <w:tcPr>
            <w:tcW w:w="7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16" w:name="XBRL_CS_128585bbe57044cb8debd169864ae923"/>
            <w:bookmarkEnd w:id="1016"/>
            <w:bookmarkStart w:id="1017" w:name="128585bbe57044cb8debd169864ae923"/>
            <w:r>
              <w:rPr>
                <w:rFonts w:ascii="Arial Narrow" w:eastAsia="Arial Narrow" w:hAnsi="Arial Narrow" w:cs="Arial Narrow"/>
                <w:b w:val="0"/>
                <w:i w:val="0"/>
                <w:strike w:val="0"/>
                <w:color w:val="000000"/>
                <w:sz w:val="16"/>
                <w:u w:val="none"/>
                <w:vertAlign w:val="baseline"/>
              </w:rPr>
              <w:t>7,909,945</w:t>
            </w:r>
            <w:bookmarkStart w:id="1018" w:name="XBRL_CE_128585bbe57044cb8debd169864ae923"/>
            <w:bookmarkEnd w:id="1017"/>
            <w:bookmarkEnd w:id="1018"/>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19" w:name="XBRL_CS_0e1e4a9777ab4b929f04321032f4c54d"/>
            <w:bookmarkEnd w:id="1019"/>
            <w:bookmarkStart w:id="1020" w:name="0e1e4a9777ab4b929f04321032f4c54d"/>
            <w:r>
              <w:rPr>
                <w:rFonts w:ascii="Arial Narrow" w:eastAsia="Arial Narrow" w:hAnsi="Arial Narrow" w:cs="Arial Narrow"/>
                <w:b w:val="0"/>
                <w:i w:val="0"/>
                <w:strike w:val="0"/>
                <w:color w:val="000000"/>
                <w:sz w:val="16"/>
                <w:u w:val="none"/>
                <w:vertAlign w:val="baseline"/>
              </w:rPr>
              <w:t>9,887,589</w:t>
            </w:r>
            <w:bookmarkStart w:id="1021" w:name="XBRL_CE_0e1e4a9777ab4b929f04321032f4c54d"/>
            <w:bookmarkEnd w:id="1020"/>
            <w:bookmarkEnd w:id="1021"/>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Samaksāti procenti</w:t>
            </w:r>
          </w:p>
        </w:tc>
        <w:tc>
          <w:tcPr>
            <w:tcW w:w="75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22" w:name="XBRL_CS_d21c3a4b4f3c46f497be96d90eb07839"/>
            <w:bookmarkEnd w:id="1022"/>
            <w:bookmarkStart w:id="1023" w:name="d21c3a4b4f3c46f497be96d90eb07839"/>
            <w:r>
              <w:rPr>
                <w:rFonts w:ascii="Arial Narrow" w:eastAsia="Arial Narrow" w:hAnsi="Arial Narrow" w:cs="Arial Narrow"/>
                <w:b w:val="0"/>
                <w:i w:val="0"/>
                <w:strike w:val="0"/>
                <w:color w:val="000000"/>
                <w:sz w:val="16"/>
                <w:u w:val="none"/>
                <w:vertAlign w:val="baseline"/>
              </w:rPr>
              <w:t>(4,609,724)</w:t>
            </w:r>
            <w:bookmarkStart w:id="1024" w:name="XBRL_CE_d21c3a4b4f3c46f497be96d90eb07839"/>
            <w:bookmarkEnd w:id="1023"/>
            <w:bookmarkEnd w:id="1024"/>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25" w:name="XBRL_CS_3c9acfd6111841d2b04bde54280dd68f"/>
            <w:bookmarkEnd w:id="1025"/>
            <w:bookmarkStart w:id="1026" w:name="3c9acfd6111841d2b04bde54280dd68f"/>
            <w:r>
              <w:rPr>
                <w:rFonts w:ascii="Arial Narrow" w:eastAsia="Arial Narrow" w:hAnsi="Arial Narrow" w:cs="Arial Narrow"/>
                <w:b w:val="0"/>
                <w:i w:val="0"/>
                <w:strike w:val="0"/>
                <w:color w:val="000000"/>
                <w:sz w:val="16"/>
                <w:u w:val="none"/>
                <w:vertAlign w:val="baseline"/>
              </w:rPr>
              <w:t>(4,231,088)</w:t>
            </w:r>
            <w:bookmarkStart w:id="1027" w:name="XBRL_CE_3c9acfd6111841d2b04bde54280dd68f"/>
            <w:bookmarkEnd w:id="1026"/>
            <w:bookmarkEnd w:id="1027"/>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Izdevumi uzņēmumu ienākuma nodokļa maksājumiem</w:t>
            </w:r>
          </w:p>
        </w:tc>
        <w:tc>
          <w:tcPr>
            <w:tcW w:w="7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strike w:val="0"/>
                <w:color w:val="000000"/>
                <w:sz w:val="16"/>
                <w:u w:val="none"/>
                <w:vertAlign w:val="baseline"/>
              </w:rPr>
            </w:pPr>
          </w:p>
        </w:tc>
        <w:tc>
          <w:tcPr>
            <w:tcW w:w="16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28" w:name="XBRL_CS_d1802b1b7c3743bd82cb794b71d6b1ad"/>
            <w:bookmarkEnd w:id="1028"/>
            <w:bookmarkStart w:id="1029" w:name="d1802b1b7c3743bd82cb794b71d6b1ad"/>
            <w:r>
              <w:rPr>
                <w:rFonts w:ascii="Arial Narrow" w:eastAsia="Arial Narrow" w:hAnsi="Arial Narrow" w:cs="Arial Narrow"/>
                <w:b w:val="0"/>
                <w:i w:val="0"/>
                <w:strike w:val="0"/>
                <w:color w:val="000000"/>
                <w:sz w:val="16"/>
                <w:u w:val="none"/>
                <w:vertAlign w:val="baseline"/>
              </w:rPr>
              <w:t>-</w:t>
            </w:r>
            <w:bookmarkStart w:id="1030" w:name="XBRL_CE_d1802b1b7c3743bd82cb794b71d6b1ad"/>
            <w:bookmarkEnd w:id="1029"/>
            <w:bookmarkEnd w:id="1030"/>
          </w:p>
        </w:tc>
        <w:tc>
          <w:tcPr>
            <w:tcW w:w="16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31" w:name="XBRL_CS_e5440fa61f394beb906ba51aaf4a66af"/>
            <w:bookmarkEnd w:id="1031"/>
            <w:bookmarkStart w:id="1032" w:name="e5440fa61f394beb906ba51aaf4a66af"/>
            <w:r>
              <w:rPr>
                <w:rFonts w:ascii="Arial Narrow" w:eastAsia="Arial Narrow" w:hAnsi="Arial Narrow" w:cs="Arial Narrow"/>
                <w:b w:val="0"/>
                <w:i w:val="0"/>
                <w:strike w:val="0"/>
                <w:color w:val="000000"/>
                <w:sz w:val="16"/>
                <w:u w:val="none"/>
                <w:vertAlign w:val="baseline"/>
              </w:rPr>
              <w:t>(8,476)</w:t>
            </w:r>
            <w:bookmarkStart w:id="1033" w:name="XBRL_CE_e5440fa61f394beb906ba51aaf4a66af"/>
            <w:bookmarkEnd w:id="1032"/>
            <w:bookmarkEnd w:id="1033"/>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Pamatdarbības neto naudas plūsma</w:t>
            </w:r>
          </w:p>
        </w:tc>
        <w:tc>
          <w:tcPr>
            <w:tcW w:w="7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6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034" w:name="XBRL_CS_940e9960ccb048579c11e6e4b7f64e60"/>
            <w:bookmarkEnd w:id="1034"/>
            <w:bookmarkStart w:id="1035" w:name="940e9960ccb048579c11e6e4b7f64e60"/>
            <w:r>
              <w:rPr>
                <w:rFonts w:ascii="Arial Narrow" w:eastAsia="Arial Narrow" w:hAnsi="Arial Narrow" w:cs="Arial Narrow"/>
                <w:b/>
                <w:i w:val="0"/>
                <w:strike w:val="0"/>
                <w:color w:val="000000"/>
                <w:sz w:val="16"/>
                <w:u w:val="none"/>
                <w:vertAlign w:val="baseline"/>
              </w:rPr>
              <w:t>15,150,358</w:t>
            </w:r>
            <w:bookmarkStart w:id="1036" w:name="XBRL_CE_940e9960ccb048579c11e6e4b7f64e60"/>
            <w:bookmarkEnd w:id="1035"/>
            <w:bookmarkEnd w:id="1036"/>
          </w:p>
        </w:tc>
        <w:tc>
          <w:tcPr>
            <w:tcW w:w="16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037" w:name="XBRL_CS_8ee12ac732e8462888a91fc30d20fd20"/>
            <w:bookmarkEnd w:id="1037"/>
            <w:bookmarkStart w:id="1038" w:name="8ee12ac732e8462888a91fc30d20fd20"/>
            <w:r>
              <w:rPr>
                <w:rFonts w:ascii="Arial Narrow" w:eastAsia="Arial Narrow" w:hAnsi="Arial Narrow" w:cs="Arial Narrow"/>
                <w:b/>
                <w:i w:val="0"/>
                <w:strike w:val="0"/>
                <w:color w:val="000000"/>
                <w:sz w:val="16"/>
                <w:u w:val="none"/>
                <w:vertAlign w:val="baseline"/>
              </w:rPr>
              <w:t>19,589,346</w:t>
            </w:r>
            <w:bookmarkStart w:id="1039" w:name="XBRL_CE_8ee12ac732e8462888a91fc30d20fd20"/>
            <w:bookmarkEnd w:id="1038"/>
            <w:bookmarkEnd w:id="1039"/>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163"/>
        </w:trPr>
        <w:tc>
          <w:tcPr>
            <w:tcW w:w="54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7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Ieguldīšanas darbības naudas plūsma</w:t>
            </w:r>
          </w:p>
        </w:tc>
        <w:tc>
          <w:tcPr>
            <w:tcW w:w="7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6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Pamatlīdzekļu un nemateriālo ieguldījumu iegāde</w:t>
            </w:r>
          </w:p>
        </w:tc>
        <w:tc>
          <w:tcPr>
            <w:tcW w:w="75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16, 17</w:t>
            </w:r>
          </w:p>
        </w:tc>
        <w:tc>
          <w:tcPr>
            <w:tcW w:w="16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40" w:name="XBRL_CS_9b9fe71b87fd4f17bf7215db5c07a9ca"/>
            <w:bookmarkEnd w:id="1040"/>
            <w:bookmarkStart w:id="1041" w:name="9b9fe71b87fd4f17bf7215db5c07a9ca"/>
            <w:r>
              <w:rPr>
                <w:rFonts w:ascii="Arial Narrow" w:eastAsia="Arial Narrow" w:hAnsi="Arial Narrow" w:cs="Arial Narrow"/>
                <w:b w:val="0"/>
                <w:i w:val="0"/>
                <w:strike w:val="0"/>
                <w:color w:val="000000"/>
                <w:sz w:val="16"/>
                <w:u w:val="none"/>
                <w:vertAlign w:val="baseline"/>
              </w:rPr>
              <w:t>(681,495)</w:t>
            </w:r>
            <w:bookmarkStart w:id="1042" w:name="XBRL_CE_9b9fe71b87fd4f17bf7215db5c07a9ca"/>
            <w:bookmarkEnd w:id="1041"/>
            <w:bookmarkEnd w:id="1042"/>
          </w:p>
        </w:tc>
        <w:tc>
          <w:tcPr>
            <w:tcW w:w="16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43" w:name="XBRL_CS_0476e4f0685f459cb1b86330b616e88f"/>
            <w:bookmarkEnd w:id="1043"/>
            <w:bookmarkStart w:id="1044" w:name="0476e4f0685f459cb1b86330b616e88f"/>
            <w:r>
              <w:rPr>
                <w:rFonts w:ascii="Arial Narrow" w:eastAsia="Arial Narrow" w:hAnsi="Arial Narrow" w:cs="Arial Narrow"/>
                <w:b w:val="0"/>
                <w:i w:val="0"/>
                <w:strike w:val="0"/>
                <w:color w:val="000000"/>
                <w:sz w:val="16"/>
                <w:u w:val="none"/>
                <w:vertAlign w:val="baseline"/>
              </w:rPr>
              <w:t>(68,610)</w:t>
            </w:r>
            <w:bookmarkStart w:id="1045" w:name="XBRL_CE_0476e4f0685f459cb1b86330b616e88f"/>
            <w:bookmarkEnd w:id="1044"/>
            <w:bookmarkEnd w:id="1045"/>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Nomas autoparka iegāde</w:t>
            </w:r>
          </w:p>
        </w:tc>
        <w:tc>
          <w:tcPr>
            <w:tcW w:w="7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17</w:t>
            </w:r>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46" w:name="XBRL_CS_3d697008a7764fff9963c48311c4f6d4"/>
            <w:bookmarkEnd w:id="1046"/>
            <w:bookmarkStart w:id="1047" w:name="3d697008a7764fff9963c48311c4f6d4"/>
            <w:r>
              <w:rPr>
                <w:rFonts w:ascii="Arial Narrow" w:eastAsia="Arial Narrow" w:hAnsi="Arial Narrow" w:cs="Arial Narrow"/>
                <w:b w:val="0"/>
                <w:i w:val="0"/>
                <w:strike w:val="0"/>
                <w:color w:val="000000"/>
                <w:sz w:val="16"/>
                <w:u w:val="none"/>
                <w:vertAlign w:val="baseline"/>
              </w:rPr>
              <w:t>(3,534,554)</w:t>
            </w:r>
            <w:bookmarkStart w:id="1048" w:name="XBRL_CE_3d697008a7764fff9963c48311c4f6d4"/>
            <w:bookmarkEnd w:id="1047"/>
            <w:bookmarkEnd w:id="1048"/>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49" w:name="XBRL_CS_036a80ccf2b44bfc978d4bd13f5889ad"/>
            <w:bookmarkEnd w:id="1049"/>
            <w:bookmarkStart w:id="1050" w:name="036a80ccf2b44bfc978d4bd13f5889ad"/>
            <w:r>
              <w:rPr>
                <w:rFonts w:ascii="Arial Narrow" w:eastAsia="Arial Narrow" w:hAnsi="Arial Narrow" w:cs="Arial Narrow"/>
                <w:b w:val="0"/>
                <w:i w:val="0"/>
                <w:strike w:val="0"/>
                <w:color w:val="000000"/>
                <w:sz w:val="16"/>
                <w:u w:val="none"/>
                <w:vertAlign w:val="baseline"/>
              </w:rPr>
              <w:t>(9,045,289)</w:t>
            </w:r>
            <w:bookmarkStart w:id="1051" w:name="XBRL_CE_036a80ccf2b44bfc978d4bd13f5889ad"/>
            <w:bookmarkEnd w:id="1050"/>
            <w:bookmarkEnd w:id="1051"/>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Ienākumi no nomas autoparka atsavināšanas</w:t>
            </w:r>
          </w:p>
        </w:tc>
        <w:tc>
          <w:tcPr>
            <w:tcW w:w="75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52" w:name="XBRL_CS_b05f01c48b004d679cefbd654bd8f1ab"/>
            <w:bookmarkEnd w:id="1052"/>
            <w:bookmarkStart w:id="1053" w:name="b05f01c48b004d679cefbd654bd8f1ab"/>
            <w:r>
              <w:rPr>
                <w:rFonts w:ascii="Arial Narrow" w:eastAsia="Arial Narrow" w:hAnsi="Arial Narrow" w:cs="Arial Narrow"/>
                <w:b w:val="0"/>
                <w:i w:val="0"/>
                <w:strike w:val="0"/>
                <w:color w:val="000000"/>
                <w:sz w:val="16"/>
                <w:u w:val="none"/>
                <w:vertAlign w:val="baseline"/>
              </w:rPr>
              <w:t>3,858,845</w:t>
            </w:r>
            <w:bookmarkStart w:id="1054" w:name="XBRL_CE_b05f01c48b004d679cefbd654bd8f1ab"/>
            <w:bookmarkEnd w:id="1053"/>
            <w:bookmarkEnd w:id="1054"/>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55" w:name="XBRL_CS_97816c035eb94f47ba2a715b04f0ab78"/>
            <w:bookmarkEnd w:id="1055"/>
            <w:bookmarkStart w:id="1056" w:name="97816c035eb94f47ba2a715b04f0ab78"/>
            <w:r>
              <w:rPr>
                <w:rFonts w:ascii="Arial Narrow" w:eastAsia="Arial Narrow" w:hAnsi="Arial Narrow" w:cs="Arial Narrow"/>
                <w:b w:val="0"/>
                <w:i w:val="0"/>
                <w:strike w:val="0"/>
                <w:color w:val="000000"/>
                <w:sz w:val="16"/>
                <w:u w:val="none"/>
                <w:vertAlign w:val="baseline"/>
              </w:rPr>
              <w:t>3,731,093</w:t>
            </w:r>
            <w:bookmarkStart w:id="1057" w:name="XBRL_CE_97816c035eb94f47ba2a715b04f0ab78"/>
            <w:bookmarkEnd w:id="1056"/>
            <w:bookmarkEnd w:id="1057"/>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Ieguldījumi vērtspapīros</w:t>
            </w:r>
          </w:p>
        </w:tc>
        <w:tc>
          <w:tcPr>
            <w:tcW w:w="75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58" w:name="XBRL_CS_c6abbe092b1a476597ee8264c72ba4bf"/>
            <w:bookmarkEnd w:id="1058"/>
            <w:bookmarkStart w:id="1059" w:name="c6abbe092b1a476597ee8264c72ba4bf"/>
            <w:r>
              <w:rPr>
                <w:rFonts w:ascii="Arial Narrow" w:eastAsia="Arial Narrow" w:hAnsi="Arial Narrow" w:cs="Arial Narrow"/>
                <w:b w:val="0"/>
                <w:i w:val="0"/>
                <w:strike w:val="0"/>
                <w:color w:val="000000"/>
                <w:sz w:val="16"/>
                <w:u w:val="none"/>
                <w:vertAlign w:val="baseline"/>
              </w:rPr>
              <w:t>632,991</w:t>
            </w:r>
            <w:bookmarkStart w:id="1060" w:name="XBRL_CE_c6abbe092b1a476597ee8264c72ba4bf"/>
            <w:bookmarkEnd w:id="1059"/>
            <w:bookmarkEnd w:id="1060"/>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61" w:name="XBRL_CS_1c3ad4ad776b4a92a7f6d85ae821f3ad"/>
            <w:bookmarkEnd w:id="1061"/>
            <w:bookmarkStart w:id="1062" w:name="1c3ad4ad776b4a92a7f6d85ae821f3ad"/>
            <w:r>
              <w:rPr>
                <w:rFonts w:ascii="Arial Narrow" w:eastAsia="Arial Narrow" w:hAnsi="Arial Narrow" w:cs="Arial Narrow"/>
                <w:b w:val="0"/>
                <w:i w:val="0"/>
                <w:strike w:val="0"/>
                <w:color w:val="000000"/>
                <w:sz w:val="16"/>
                <w:u w:val="none"/>
                <w:vertAlign w:val="baseline"/>
              </w:rPr>
              <w:t>(619,908)</w:t>
            </w:r>
            <w:bookmarkStart w:id="1063" w:name="XBRL_CE_1c3ad4ad776b4a92a7f6d85ae821f3ad"/>
            <w:bookmarkEnd w:id="1062"/>
            <w:bookmarkEnd w:id="1063"/>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Saistīto pušu atmaksātie aizdevumi</w:t>
            </w:r>
          </w:p>
        </w:tc>
        <w:tc>
          <w:tcPr>
            <w:tcW w:w="7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64" w:name="XBRL_CS_692ad74f72a345b1bc36b6ba23793516"/>
            <w:bookmarkEnd w:id="1064"/>
            <w:bookmarkStart w:id="1065" w:name="692ad74f72a345b1bc36b6ba23793516"/>
            <w:r>
              <w:rPr>
                <w:rFonts w:ascii="Arial Narrow" w:eastAsia="Arial Narrow" w:hAnsi="Arial Narrow" w:cs="Arial Narrow"/>
                <w:b w:val="0"/>
                <w:i w:val="0"/>
                <w:strike w:val="0"/>
                <w:color w:val="000000"/>
                <w:sz w:val="16"/>
                <w:u w:val="none"/>
                <w:vertAlign w:val="baseline"/>
              </w:rPr>
              <w:t>47,576,632</w:t>
            </w:r>
            <w:bookmarkStart w:id="1066" w:name="XBRL_CE_692ad74f72a345b1bc36b6ba23793516"/>
            <w:bookmarkEnd w:id="1065"/>
            <w:bookmarkEnd w:id="1066"/>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67" w:name="XBRL_CS_976b85c5f1994abc8e0462a583ce93b4"/>
            <w:bookmarkEnd w:id="1067"/>
            <w:bookmarkStart w:id="1068" w:name="976b85c5f1994abc8e0462a583ce93b4"/>
            <w:r>
              <w:rPr>
                <w:rFonts w:ascii="Arial Narrow" w:eastAsia="Arial Narrow" w:hAnsi="Arial Narrow" w:cs="Arial Narrow"/>
                <w:b w:val="0"/>
                <w:i w:val="0"/>
                <w:strike w:val="0"/>
                <w:color w:val="000000"/>
                <w:sz w:val="16"/>
                <w:u w:val="none"/>
                <w:vertAlign w:val="baseline"/>
              </w:rPr>
              <w:t>30,601,745</w:t>
            </w:r>
            <w:bookmarkStart w:id="1069" w:name="XBRL_CE_976b85c5f1994abc8e0462a583ce93b4"/>
            <w:bookmarkEnd w:id="1068"/>
            <w:bookmarkEnd w:id="1069"/>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Izsniegti aizdevumi saistītajām pusēm</w:t>
            </w:r>
          </w:p>
        </w:tc>
        <w:tc>
          <w:tcPr>
            <w:tcW w:w="7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70" w:name="XBRL_CS_613a5d28be9a4eb39b88380bf949e4e3"/>
            <w:bookmarkEnd w:id="1070"/>
            <w:bookmarkStart w:id="1071" w:name="613a5d28be9a4eb39b88380bf949e4e3"/>
            <w:r>
              <w:rPr>
                <w:rFonts w:ascii="Arial Narrow" w:eastAsia="Arial Narrow" w:hAnsi="Arial Narrow" w:cs="Arial Narrow"/>
                <w:b w:val="0"/>
                <w:i w:val="0"/>
                <w:strike w:val="0"/>
                <w:color w:val="000000"/>
                <w:sz w:val="16"/>
                <w:u w:val="none"/>
                <w:vertAlign w:val="baseline"/>
              </w:rPr>
              <w:t>(54,790,502)</w:t>
            </w:r>
            <w:bookmarkStart w:id="1072" w:name="XBRL_CE_613a5d28be9a4eb39b88380bf949e4e3"/>
            <w:bookmarkEnd w:id="1071"/>
            <w:bookmarkEnd w:id="1072"/>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73" w:name="XBRL_CS_75e5f41196c34950a79dcadf75c3018b"/>
            <w:bookmarkEnd w:id="1073"/>
            <w:bookmarkStart w:id="1074" w:name="75e5f41196c34950a79dcadf75c3018b"/>
            <w:r>
              <w:rPr>
                <w:rFonts w:ascii="Arial Narrow" w:eastAsia="Arial Narrow" w:hAnsi="Arial Narrow" w:cs="Arial Narrow"/>
                <w:b w:val="0"/>
                <w:i w:val="0"/>
                <w:strike w:val="0"/>
                <w:color w:val="000000"/>
                <w:sz w:val="16"/>
                <w:u w:val="none"/>
                <w:vertAlign w:val="baseline"/>
              </w:rPr>
              <w:t>(34,635,710)</w:t>
            </w:r>
            <w:bookmarkStart w:id="1075" w:name="XBRL_CE_75e5f41196c34950a79dcadf75c3018b"/>
            <w:bookmarkEnd w:id="1074"/>
            <w:bookmarkEnd w:id="1075"/>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Ieguldīšanas darbības neto naudas plūsma</w:t>
            </w:r>
          </w:p>
        </w:tc>
        <w:tc>
          <w:tcPr>
            <w:tcW w:w="7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6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076" w:name="XBRL_CS_a94b79b41f294502a1e603ed111957c1"/>
            <w:bookmarkEnd w:id="1076"/>
            <w:bookmarkStart w:id="1077" w:name="a94b79b41f294502a1e603ed111957c1"/>
            <w:r>
              <w:rPr>
                <w:rFonts w:ascii="Arial Narrow" w:eastAsia="Arial Narrow" w:hAnsi="Arial Narrow" w:cs="Arial Narrow"/>
                <w:b/>
                <w:i w:val="0"/>
                <w:strike w:val="0"/>
                <w:color w:val="000000"/>
                <w:sz w:val="16"/>
                <w:u w:val="none"/>
                <w:vertAlign w:val="baseline"/>
              </w:rPr>
              <w:t>(6,938,083)</w:t>
            </w:r>
            <w:bookmarkStart w:id="1078" w:name="XBRL_CE_a94b79b41f294502a1e603ed111957c1"/>
            <w:bookmarkEnd w:id="1077"/>
            <w:bookmarkEnd w:id="1078"/>
          </w:p>
        </w:tc>
        <w:tc>
          <w:tcPr>
            <w:tcW w:w="16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079" w:name="XBRL_CS_215e3b03b7634d2588db95c62fedd82f"/>
            <w:bookmarkEnd w:id="1079"/>
            <w:bookmarkStart w:id="1080" w:name="215e3b03b7634d2588db95c62fedd82f"/>
            <w:r>
              <w:rPr>
                <w:rFonts w:ascii="Arial Narrow" w:eastAsia="Arial Narrow" w:hAnsi="Arial Narrow" w:cs="Arial Narrow"/>
                <w:b/>
                <w:i w:val="0"/>
                <w:strike w:val="0"/>
                <w:color w:val="000000"/>
                <w:sz w:val="16"/>
                <w:u w:val="none"/>
                <w:vertAlign w:val="baseline"/>
              </w:rPr>
              <w:t>(10,036,679)</w:t>
            </w:r>
            <w:bookmarkStart w:id="1081" w:name="XBRL_CE_215e3b03b7634d2588db95c62fedd82f"/>
            <w:bookmarkEnd w:id="1080"/>
            <w:bookmarkEnd w:id="1081"/>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163"/>
        </w:trPr>
        <w:tc>
          <w:tcPr>
            <w:tcW w:w="54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7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Finansēšanas darbības naudas plūsma</w:t>
            </w:r>
          </w:p>
        </w:tc>
        <w:tc>
          <w:tcPr>
            <w:tcW w:w="7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Saņemti aizņēmumi </w:t>
            </w:r>
          </w:p>
        </w:tc>
        <w:tc>
          <w:tcPr>
            <w:tcW w:w="75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w:t>
            </w:r>
          </w:p>
        </w:tc>
        <w:tc>
          <w:tcPr>
            <w:tcW w:w="16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82" w:name="XBRL_CS_ff67e5541b2746d983f2ec96b31754fd"/>
            <w:bookmarkEnd w:id="1082"/>
            <w:bookmarkStart w:id="1083" w:name="ff67e5541b2746d983f2ec96b31754fd"/>
            <w:r>
              <w:rPr>
                <w:rFonts w:ascii="Arial Narrow" w:eastAsia="Arial Narrow" w:hAnsi="Arial Narrow" w:cs="Arial Narrow"/>
                <w:b w:val="0"/>
                <w:i w:val="0"/>
                <w:strike w:val="0"/>
                <w:color w:val="000000"/>
                <w:sz w:val="16"/>
                <w:u w:val="none"/>
                <w:vertAlign w:val="baseline"/>
              </w:rPr>
              <w:t>45,193,118</w:t>
            </w:r>
            <w:bookmarkStart w:id="1084" w:name="XBRL_CE_ff67e5541b2746d983f2ec96b31754fd"/>
            <w:bookmarkEnd w:id="1083"/>
            <w:bookmarkEnd w:id="1084"/>
          </w:p>
        </w:tc>
        <w:tc>
          <w:tcPr>
            <w:tcW w:w="16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85" w:name="XBRL_CS_07d829d757274d34ae496dbda31d9d9a"/>
            <w:bookmarkEnd w:id="1085"/>
            <w:bookmarkStart w:id="1086" w:name="07d829d757274d34ae496dbda31d9d9a"/>
            <w:r>
              <w:rPr>
                <w:rFonts w:ascii="Arial Narrow" w:eastAsia="Arial Narrow" w:hAnsi="Arial Narrow" w:cs="Arial Narrow"/>
                <w:b w:val="0"/>
                <w:i w:val="0"/>
                <w:strike w:val="0"/>
                <w:color w:val="000000"/>
                <w:sz w:val="16"/>
                <w:u w:val="none"/>
                <w:vertAlign w:val="baseline"/>
              </w:rPr>
              <w:t>24,336,033</w:t>
            </w:r>
            <w:bookmarkStart w:id="1087" w:name="XBRL_CE_07d829d757274d34ae496dbda31d9d9a"/>
            <w:bookmarkEnd w:id="1086"/>
            <w:bookmarkEnd w:id="1087"/>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Atmaksāti aizņēmumi</w:t>
            </w:r>
          </w:p>
        </w:tc>
        <w:tc>
          <w:tcPr>
            <w:tcW w:w="7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w:t>
            </w:r>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88" w:name="XBRL_CS_b9d729f07d54475f94932a3229a4c3e1"/>
            <w:bookmarkEnd w:id="1088"/>
            <w:bookmarkStart w:id="1089" w:name="b9d729f07d54475f94932a3229a4c3e1"/>
            <w:r>
              <w:rPr>
                <w:rFonts w:ascii="Arial Narrow" w:eastAsia="Arial Narrow" w:hAnsi="Arial Narrow" w:cs="Arial Narrow"/>
                <w:b w:val="0"/>
                <w:i w:val="0"/>
                <w:strike w:val="0"/>
                <w:color w:val="000000"/>
                <w:sz w:val="16"/>
                <w:u w:val="none"/>
                <w:vertAlign w:val="baseline"/>
              </w:rPr>
              <w:t>(47,536,108)</w:t>
            </w:r>
            <w:bookmarkStart w:id="1090" w:name="XBRL_CE_b9d729f07d54475f94932a3229a4c3e1"/>
            <w:bookmarkEnd w:id="1089"/>
            <w:bookmarkEnd w:id="1090"/>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91" w:name="XBRL_CS_ba8acef306fb4d68aa44b0ead480d961"/>
            <w:bookmarkEnd w:id="1091"/>
            <w:bookmarkStart w:id="1092" w:name="ba8acef306fb4d68aa44b0ead480d961"/>
            <w:r>
              <w:rPr>
                <w:rFonts w:ascii="Arial Narrow" w:eastAsia="Arial Narrow" w:hAnsi="Arial Narrow" w:cs="Arial Narrow"/>
                <w:b w:val="0"/>
                <w:i w:val="0"/>
                <w:strike w:val="0"/>
                <w:color w:val="000000"/>
                <w:sz w:val="16"/>
                <w:u w:val="none"/>
                <w:vertAlign w:val="baseline"/>
              </w:rPr>
              <w:t>(33,983,759)</w:t>
            </w:r>
            <w:bookmarkStart w:id="1093" w:name="XBRL_CE_ba8acef306fb4d68aa44b0ead480d961"/>
            <w:bookmarkEnd w:id="1092"/>
            <w:bookmarkEnd w:id="1093"/>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Aizņēmumu iegādes izmaksas</w:t>
            </w:r>
          </w:p>
        </w:tc>
        <w:tc>
          <w:tcPr>
            <w:tcW w:w="7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w:t>
            </w:r>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94" w:name="XBRL_CS_bf550050049c4651b750596fe5ab05f4"/>
            <w:bookmarkEnd w:id="1094"/>
            <w:bookmarkStart w:id="1095" w:name="bf550050049c4651b750596fe5ab05f4"/>
            <w:r>
              <w:rPr>
                <w:rFonts w:ascii="Arial Narrow" w:eastAsia="Arial Narrow" w:hAnsi="Arial Narrow" w:cs="Arial Narrow"/>
                <w:b w:val="0"/>
                <w:i w:val="0"/>
                <w:strike w:val="0"/>
                <w:color w:val="000000"/>
                <w:sz w:val="16"/>
                <w:u w:val="none"/>
                <w:vertAlign w:val="baseline"/>
              </w:rPr>
              <w:t>(927,439)</w:t>
            </w:r>
            <w:bookmarkStart w:id="1096" w:name="XBRL_CE_bf550050049c4651b750596fe5ab05f4"/>
            <w:bookmarkEnd w:id="1095"/>
            <w:bookmarkEnd w:id="1096"/>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097" w:name="XBRL_CS_e45ae33009d743d5b5d21925c7ac75e4"/>
            <w:bookmarkEnd w:id="1097"/>
            <w:bookmarkStart w:id="1098" w:name="e45ae33009d743d5b5d21925c7ac75e4"/>
            <w:r>
              <w:rPr>
                <w:rFonts w:ascii="Arial Narrow" w:eastAsia="Arial Narrow" w:hAnsi="Arial Narrow" w:cs="Arial Narrow"/>
                <w:b w:val="0"/>
                <w:i w:val="0"/>
                <w:strike w:val="0"/>
                <w:color w:val="000000"/>
                <w:sz w:val="16"/>
                <w:u w:val="none"/>
                <w:vertAlign w:val="baseline"/>
              </w:rPr>
              <w:t>-</w:t>
            </w:r>
            <w:bookmarkStart w:id="1099" w:name="XBRL_CE_e45ae33009d743d5b5d21925c7ac75e4"/>
            <w:bookmarkEnd w:id="1098"/>
            <w:bookmarkEnd w:id="1099"/>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Nomas saistību par lietošanas tiesību aktīviem atmaksa</w:t>
            </w:r>
          </w:p>
        </w:tc>
        <w:tc>
          <w:tcPr>
            <w:tcW w:w="7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w:t>
            </w:r>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100" w:name="XBRL_CS_d0e44fbb83bd481987df64b92f9a14c0"/>
            <w:bookmarkEnd w:id="1100"/>
            <w:bookmarkStart w:id="1101" w:name="d0e44fbb83bd481987df64b92f9a14c0"/>
            <w:r>
              <w:rPr>
                <w:rFonts w:ascii="Arial Narrow" w:eastAsia="Arial Narrow" w:hAnsi="Arial Narrow" w:cs="Arial Narrow"/>
                <w:b w:val="0"/>
                <w:i w:val="0"/>
                <w:strike w:val="0"/>
                <w:color w:val="000000"/>
                <w:sz w:val="16"/>
                <w:u w:val="none"/>
                <w:vertAlign w:val="baseline"/>
              </w:rPr>
              <w:t>(123,353)</w:t>
            </w:r>
            <w:bookmarkStart w:id="1102" w:name="XBRL_CE_d0e44fbb83bd481987df64b92f9a14c0"/>
            <w:bookmarkEnd w:id="1101"/>
            <w:bookmarkEnd w:id="1102"/>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103" w:name="XBRL_CS_9d94303fe45f4886be3e99768c7922d3"/>
            <w:bookmarkEnd w:id="1103"/>
            <w:bookmarkStart w:id="1104" w:name="9d94303fe45f4886be3e99768c7922d3"/>
            <w:r>
              <w:rPr>
                <w:rFonts w:ascii="Arial Narrow" w:eastAsia="Arial Narrow" w:hAnsi="Arial Narrow" w:cs="Arial Narrow"/>
                <w:b w:val="0"/>
                <w:i w:val="0"/>
                <w:strike w:val="0"/>
                <w:color w:val="000000"/>
                <w:sz w:val="16"/>
                <w:u w:val="none"/>
                <w:vertAlign w:val="baseline"/>
              </w:rPr>
              <w:t>(121,190)</w:t>
            </w:r>
            <w:bookmarkStart w:id="1105" w:name="XBRL_CE_9d94303fe45f4886be3e99768c7922d3"/>
            <w:bookmarkEnd w:id="1104"/>
            <w:bookmarkEnd w:id="1105"/>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Pamatkapitāla samazināšana</w:t>
            </w:r>
          </w:p>
        </w:tc>
        <w:tc>
          <w:tcPr>
            <w:tcW w:w="75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106" w:name="XBRL_CS_9692e53af9254b43b4f08ca9f3eebde6"/>
            <w:bookmarkEnd w:id="1106"/>
            <w:bookmarkStart w:id="1107" w:name="9692e53af9254b43b4f08ca9f3eebde6"/>
            <w:r>
              <w:rPr>
                <w:rFonts w:ascii="Arial Narrow" w:eastAsia="Arial Narrow" w:hAnsi="Arial Narrow" w:cs="Arial Narrow"/>
                <w:b w:val="0"/>
                <w:i w:val="0"/>
                <w:strike w:val="0"/>
                <w:color w:val="000000"/>
                <w:sz w:val="16"/>
                <w:u w:val="none"/>
                <w:vertAlign w:val="baseline"/>
              </w:rPr>
              <w:t>(4,575,000)</w:t>
            </w:r>
            <w:bookmarkStart w:id="1108" w:name="XBRL_CE_9692e53af9254b43b4f08ca9f3eebde6"/>
            <w:bookmarkEnd w:id="1107"/>
            <w:bookmarkEnd w:id="1108"/>
          </w:p>
        </w:tc>
        <w:tc>
          <w:tcPr>
            <w:tcW w:w="16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109" w:name="XBRL_CS_1c03e37ca87e485c8621333c3763b077"/>
            <w:bookmarkEnd w:id="1109"/>
            <w:bookmarkStart w:id="1110" w:name="1c03e37ca87e485c8621333c3763b077"/>
            <w:r>
              <w:rPr>
                <w:rFonts w:ascii="Arial Narrow" w:eastAsia="Arial Narrow" w:hAnsi="Arial Narrow" w:cs="Arial Narrow"/>
                <w:b w:val="0"/>
                <w:i w:val="0"/>
                <w:strike w:val="0"/>
                <w:color w:val="000000"/>
                <w:sz w:val="16"/>
                <w:u w:val="none"/>
                <w:vertAlign w:val="baseline"/>
              </w:rPr>
              <w:t>-</w:t>
            </w:r>
            <w:bookmarkStart w:id="1111" w:name="XBRL_CE_1c03e37ca87e485c8621333c3763b077"/>
            <w:bookmarkEnd w:id="1110"/>
            <w:bookmarkEnd w:id="1111"/>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Finansēšanas darbības neto naudas plūsma</w:t>
            </w:r>
          </w:p>
        </w:tc>
        <w:tc>
          <w:tcPr>
            <w:tcW w:w="7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6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112" w:name="XBRL_CS_8341134d006941089bd97af546273a18"/>
            <w:bookmarkEnd w:id="1112"/>
            <w:bookmarkStart w:id="1113" w:name="8341134d006941089bd97af546273a18"/>
            <w:r>
              <w:rPr>
                <w:rFonts w:ascii="Arial Narrow" w:eastAsia="Arial Narrow" w:hAnsi="Arial Narrow" w:cs="Arial Narrow"/>
                <w:b/>
                <w:i w:val="0"/>
                <w:strike w:val="0"/>
                <w:color w:val="000000"/>
                <w:sz w:val="16"/>
                <w:u w:val="none"/>
                <w:vertAlign w:val="baseline"/>
              </w:rPr>
              <w:t>(7,968,781)</w:t>
            </w:r>
            <w:bookmarkStart w:id="1114" w:name="XBRL_CE_8341134d006941089bd97af546273a18"/>
            <w:bookmarkEnd w:id="1113"/>
            <w:bookmarkEnd w:id="1114"/>
          </w:p>
        </w:tc>
        <w:tc>
          <w:tcPr>
            <w:tcW w:w="16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115" w:name="XBRL_CS_2c85109939c84fbebd74c9e8eec34b04"/>
            <w:bookmarkEnd w:id="1115"/>
            <w:bookmarkStart w:id="1116" w:name="2c85109939c84fbebd74c9e8eec34b04"/>
            <w:r>
              <w:rPr>
                <w:rFonts w:ascii="Arial Narrow" w:eastAsia="Arial Narrow" w:hAnsi="Arial Narrow" w:cs="Arial Narrow"/>
                <w:b/>
                <w:i w:val="0"/>
                <w:strike w:val="0"/>
                <w:color w:val="000000"/>
                <w:sz w:val="16"/>
                <w:u w:val="none"/>
                <w:vertAlign w:val="baseline"/>
              </w:rPr>
              <w:t>(9,768,916)</w:t>
            </w:r>
            <w:bookmarkStart w:id="1117" w:name="XBRL_CE_2c85109939c84fbebd74c9e8eec34b04"/>
            <w:bookmarkEnd w:id="1116"/>
            <w:bookmarkEnd w:id="1117"/>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163"/>
        </w:trPr>
        <w:tc>
          <w:tcPr>
            <w:tcW w:w="54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75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6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163"/>
        </w:trPr>
        <w:tc>
          <w:tcPr>
            <w:tcW w:w="54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7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6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Pārskata gada neto naudas plūsma</w:t>
            </w:r>
          </w:p>
        </w:tc>
        <w:tc>
          <w:tcPr>
            <w:tcW w:w="7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6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118" w:name="XBRL_CS_aa0e67345cf243aa991ccd0d5c4b359f"/>
            <w:bookmarkEnd w:id="1118"/>
            <w:bookmarkStart w:id="1119" w:name="aa0e67345cf243aa991ccd0d5c4b359f"/>
            <w:r>
              <w:rPr>
                <w:rFonts w:ascii="Arial Narrow" w:eastAsia="Arial Narrow" w:hAnsi="Arial Narrow" w:cs="Arial Narrow"/>
                <w:b/>
                <w:i w:val="0"/>
                <w:strike w:val="0"/>
                <w:color w:val="000000"/>
                <w:sz w:val="16"/>
                <w:u w:val="none"/>
                <w:vertAlign w:val="baseline"/>
              </w:rPr>
              <w:t>243,494</w:t>
            </w:r>
            <w:bookmarkStart w:id="1120" w:name="XBRL_CE_aa0e67345cf243aa991ccd0d5c4b359f"/>
            <w:bookmarkEnd w:id="1119"/>
            <w:bookmarkEnd w:id="1120"/>
          </w:p>
        </w:tc>
        <w:tc>
          <w:tcPr>
            <w:tcW w:w="16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121" w:name="XBRL_CS_e9603da1db934c20b1bf7078bbc2b352"/>
            <w:bookmarkEnd w:id="1121"/>
            <w:bookmarkStart w:id="1122" w:name="e9603da1db934c20b1bf7078bbc2b352"/>
            <w:r>
              <w:rPr>
                <w:rFonts w:ascii="Arial Narrow" w:eastAsia="Arial Narrow" w:hAnsi="Arial Narrow" w:cs="Arial Narrow"/>
                <w:b/>
                <w:i w:val="0"/>
                <w:strike w:val="0"/>
                <w:color w:val="000000"/>
                <w:sz w:val="16"/>
                <w:u w:val="none"/>
                <w:vertAlign w:val="baseline"/>
              </w:rPr>
              <w:t>(216,249)</w:t>
            </w:r>
            <w:bookmarkStart w:id="1123" w:name="XBRL_CE_e9603da1db934c20b1bf7078bbc2b352"/>
            <w:bookmarkEnd w:id="1122"/>
            <w:bookmarkEnd w:id="1123"/>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single" w:sz="8" w:space="0" w:color="000000"/>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Naudas un tās ekvivalentu atlikums pārskata gada sākumā</w:t>
            </w:r>
          </w:p>
        </w:tc>
        <w:tc>
          <w:tcPr>
            <w:tcW w:w="750" w:type="dxa"/>
            <w:tcBorders>
              <w:top w:val="nil"/>
              <w:left w:val="nil"/>
              <w:bottom w:val="single" w:sz="8" w:space="0" w:color="000000"/>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650" w:type="dxa"/>
            <w:tcBorders>
              <w:top w:val="nil"/>
              <w:left w:val="nil"/>
              <w:bottom w:val="single" w:sz="8"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124" w:name="XBRL_CS_5ac64d03e3414c75afe645f54c4ea862"/>
            <w:bookmarkEnd w:id="1124"/>
            <w:bookmarkStart w:id="1125" w:name="5ac64d03e3414c75afe645f54c4ea862"/>
            <w:r>
              <w:rPr>
                <w:rFonts w:ascii="Arial Narrow" w:eastAsia="Arial Narrow" w:hAnsi="Arial Narrow" w:cs="Arial Narrow"/>
                <w:b w:val="0"/>
                <w:i w:val="0"/>
                <w:strike w:val="0"/>
                <w:color w:val="000000"/>
                <w:sz w:val="16"/>
                <w:u w:val="none"/>
                <w:vertAlign w:val="baseline"/>
              </w:rPr>
              <w:t>160,318</w:t>
            </w:r>
            <w:bookmarkStart w:id="1126" w:name="XBRL_CE_5ac64d03e3414c75afe645f54c4ea862"/>
            <w:bookmarkEnd w:id="1125"/>
            <w:bookmarkEnd w:id="1126"/>
          </w:p>
        </w:tc>
        <w:tc>
          <w:tcPr>
            <w:tcW w:w="1650" w:type="dxa"/>
            <w:tcBorders>
              <w:top w:val="nil"/>
              <w:left w:val="nil"/>
              <w:bottom w:val="single" w:sz="8"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bookmarkStart w:id="1127" w:name="XBRL_CS_9b9820ef1b4945b3a206da6941d14752"/>
            <w:bookmarkEnd w:id="1127"/>
            <w:bookmarkStart w:id="1128" w:name="9b9820ef1b4945b3a206da6941d14752"/>
            <w:r>
              <w:rPr>
                <w:rFonts w:ascii="Arial Narrow" w:eastAsia="Arial Narrow" w:hAnsi="Arial Narrow" w:cs="Arial Narrow"/>
                <w:b w:val="0"/>
                <w:i w:val="0"/>
                <w:strike w:val="0"/>
                <w:color w:val="000000"/>
                <w:sz w:val="16"/>
                <w:u w:val="none"/>
                <w:vertAlign w:val="baseline"/>
              </w:rPr>
              <w:t>376,567</w:t>
            </w:r>
            <w:bookmarkStart w:id="1129" w:name="XBRL_CE_9b9820ef1b4945b3a206da6941d14752"/>
            <w:bookmarkEnd w:id="1128"/>
            <w:bookmarkEnd w:id="1129"/>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163"/>
        </w:trPr>
        <w:tc>
          <w:tcPr>
            <w:tcW w:w="5400" w:type="dxa"/>
            <w:tcBorders>
              <w:top w:val="single" w:sz="8"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750" w:type="dxa"/>
            <w:tcBorders>
              <w:top w:val="single" w:sz="8"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650" w:type="dxa"/>
            <w:tcBorders>
              <w:top w:val="single" w:sz="8"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650" w:type="dxa"/>
            <w:tcBorders>
              <w:top w:val="single" w:sz="8"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4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54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Naudas un tās ekvivalentu atlikums pārskata gada beigās</w:t>
            </w:r>
          </w:p>
        </w:tc>
        <w:tc>
          <w:tcPr>
            <w:tcW w:w="7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28</w:t>
            </w:r>
          </w:p>
        </w:tc>
        <w:tc>
          <w:tcPr>
            <w:tcW w:w="1650" w:type="dxa"/>
            <w:tcBorders>
              <w:top w:val="nil"/>
              <w:left w:val="nil"/>
              <w:bottom w:val="single" w:sz="8"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130" w:name="XBRL_CS_d4a10db4d4934af1b1ef0833cf6c1b3d"/>
            <w:bookmarkEnd w:id="1130"/>
            <w:bookmarkStart w:id="1131" w:name="d4a10db4d4934af1b1ef0833cf6c1b3d"/>
            <w:r>
              <w:rPr>
                <w:rFonts w:ascii="Arial Narrow" w:eastAsia="Arial Narrow" w:hAnsi="Arial Narrow" w:cs="Arial Narrow"/>
                <w:b/>
                <w:i w:val="0"/>
                <w:strike w:val="0"/>
                <w:color w:val="000000"/>
                <w:sz w:val="16"/>
                <w:u w:val="none"/>
                <w:vertAlign w:val="baseline"/>
              </w:rPr>
              <w:t>403,812</w:t>
            </w:r>
            <w:bookmarkStart w:id="1132" w:name="XBRL_CE_d4a10db4d4934af1b1ef0833cf6c1b3d"/>
            <w:bookmarkEnd w:id="1131"/>
            <w:bookmarkEnd w:id="1132"/>
          </w:p>
        </w:tc>
        <w:tc>
          <w:tcPr>
            <w:tcW w:w="1650" w:type="dxa"/>
            <w:tcBorders>
              <w:top w:val="nil"/>
              <w:left w:val="nil"/>
              <w:bottom w:val="single" w:sz="8"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bookmarkStart w:id="1133" w:name="XBRL_CS_47e2c7b1243142e3bddcc61d7f47c464"/>
            <w:bookmarkEnd w:id="1133"/>
            <w:bookmarkStart w:id="1134" w:name="47e2c7b1243142e3bddcc61d7f47c464"/>
            <w:r>
              <w:rPr>
                <w:rFonts w:ascii="Arial Narrow" w:eastAsia="Arial Narrow" w:hAnsi="Arial Narrow" w:cs="Arial Narrow"/>
                <w:b/>
                <w:i w:val="0"/>
                <w:strike w:val="0"/>
                <w:color w:val="000000"/>
                <w:sz w:val="16"/>
                <w:u w:val="none"/>
                <w:vertAlign w:val="baseline"/>
              </w:rPr>
              <w:t>160,318</w:t>
            </w:r>
            <w:bookmarkStart w:id="1135" w:name="XBRL_CE_47e2c7b1243142e3bddcc61d7f47c464"/>
            <w:bookmarkEnd w:id="1134"/>
            <w:bookmarkEnd w:id="1135"/>
          </w:p>
        </w:tc>
      </w:tr>
    </w:tbl>
    <w:p>
      <w:pPr>
        <w:spacing w:before="0" w:beforeAutospacing="0" w:after="0" w:afterAutospacing="0" w:line="240" w:lineRule="auto"/>
        <w:rPr>
          <w:rFonts w:ascii="Arial Narrow" w:eastAsia="Arial Narrow" w:hAnsi="Arial Narrow" w:cs="Arial Narrow"/>
          <w:sz w:val="16"/>
        </w:rPr>
      </w:pPr>
    </w:p>
    <w:p w:rsidR="00CC307B" w:rsidP="004721D0" w14:paraId="129417A2" w14:textId="77777777">
      <w:pPr>
        <w:spacing w:after="0"/>
        <w:rPr>
          <w:rFonts w:ascii="Arial Narrow" w:eastAsia="Arial Narrow" w:hAnsi="Arial Narrow" w:cs="Arial Narrow"/>
          <w:sz w:val="14"/>
          <w:szCs w:val="14"/>
        </w:rPr>
      </w:pPr>
      <w:bookmarkStart w:id="1136" w:name="RG_MARKER_6786"/>
      <w:bookmarkEnd w:id="1136"/>
    </w:p>
    <w:p w:rsidR="004721D0" w:rsidRPr="00CC307B" w:rsidP="004721D0" w14:textId="247AC415">
      <w:pPr>
        <w:spacing w:after="0"/>
        <w:rPr>
          <w:rFonts w:ascii="Arial Narrow" w:eastAsia="Arial Narrow" w:hAnsi="Arial Narrow" w:cs="Arial Narrow"/>
          <w:sz w:val="16"/>
          <w:szCs w:val="16"/>
        </w:rPr>
      </w:pPr>
      <w:r w:rsidRPr="00CC307B">
        <w:rPr>
          <w:rFonts w:ascii="Arial Narrow" w:eastAsia="Arial Narrow" w:hAnsi="Arial Narrow" w:cs="Arial Narrow"/>
          <w:sz w:val="16"/>
          <w:szCs w:val="16"/>
        </w:rPr>
        <w:t>Pielikums ir šo konsolidēto finanšu pārskatu neatņemama sastāvdaļa.</w:t>
      </w:r>
    </w:p>
    <w:p w:rsidR="004721D0" w:rsidRPr="00CC307B" w:rsidP="004721D0" w14:textId="14C1271C">
      <w:pPr>
        <w:spacing w:after="0"/>
        <w:rPr>
          <w:rFonts w:ascii="Arial Narrow" w:eastAsia="Arial Narrow" w:hAnsi="Arial Narrow" w:cs="Arial Narrow"/>
          <w:sz w:val="16"/>
          <w:szCs w:val="16"/>
        </w:rPr>
      </w:pPr>
    </w:p>
    <w:p w:rsidR="005D4FBD" w:rsidP="005D4FBD" w14:paraId="27CAC331" w14:textId="085A601B">
      <w:pPr>
        <w:rPr>
          <w:rFonts w:ascii="Arial Narrow" w:eastAsia="Arial Narrow" w:hAnsi="Arial Narrow" w:cs="Arial Narrow"/>
          <w:sz w:val="16"/>
          <w:szCs w:val="16"/>
          <w:lang w:val="lv-LV"/>
        </w:rPr>
      </w:pPr>
      <w:r>
        <w:rPr>
          <w:rFonts w:ascii="Arial Narrow" w:eastAsia="Arial Narrow" w:hAnsi="Arial Narrow" w:cs="Arial Narrow"/>
          <w:sz w:val="16"/>
          <w:szCs w:val="16"/>
          <w:lang w:val="lv-LV"/>
        </w:rPr>
        <w:t>Koncerna vārdā 2022. gada 30</w:t>
      </w:r>
      <w:r>
        <w:rPr>
          <w:rFonts w:ascii="Arial Narrow" w:eastAsia="Arial Narrow" w:hAnsi="Arial Narrow" w:cs="Arial Narrow"/>
          <w:sz w:val="16"/>
          <w:szCs w:val="16"/>
          <w:lang w:val="lv-LV"/>
        </w:rPr>
        <w:t>. aprīlī konsolidētos finanšu pārskatus ir parakstījuši:</w:t>
      </w:r>
    </w:p>
    <w:p w:rsidR="005D4FBD" w:rsidP="005D4FBD" w14:paraId="28AEF0F7" w14:textId="77777777">
      <w:pPr>
        <w:spacing w:after="0" w:line="360" w:lineRule="auto"/>
        <w:rPr>
          <w:rFonts w:ascii="Arial Narrow" w:eastAsia="Arial Narrow" w:hAnsi="Arial Narrow" w:cs="Arial Narrow"/>
          <w:sz w:val="16"/>
          <w:szCs w:val="16"/>
          <w:lang w:val="lv-LV"/>
        </w:rPr>
      </w:pPr>
      <w:r>
        <w:rPr>
          <w:rFonts w:ascii="Arial Narrow" w:eastAsia="Arial Narrow" w:hAnsi="Arial Narrow" w:cs="Arial Narrow"/>
          <w:sz w:val="16"/>
          <w:szCs w:val="16"/>
          <w:lang w:val="lv-LV"/>
        </w:rPr>
        <w:t>Krišjānis Znotiņš, Valdes priekšsēdētājs</w:t>
      </w:r>
    </w:p>
    <w:p w:rsidR="005D4FBD" w:rsidP="005D4FBD" w14:paraId="5A5EF61E" w14:textId="77777777">
      <w:pPr>
        <w:spacing w:after="0" w:line="360" w:lineRule="auto"/>
        <w:rPr>
          <w:rFonts w:ascii="Arial Narrow" w:eastAsia="Arial Narrow" w:hAnsi="Arial Narrow" w:cs="Arial Narrow"/>
          <w:sz w:val="16"/>
          <w:szCs w:val="16"/>
          <w:lang w:val="lv-LV"/>
        </w:rPr>
      </w:pPr>
      <w:r>
        <w:rPr>
          <w:rFonts w:ascii="Arial Narrow" w:eastAsia="Arial Narrow" w:hAnsi="Arial Narrow" w:cs="Arial Narrow"/>
          <w:sz w:val="16"/>
          <w:szCs w:val="16"/>
          <w:lang w:val="lv-LV"/>
        </w:rPr>
        <w:t>Aivis Lonskis, Valdes loceklis</w:t>
      </w:r>
    </w:p>
    <w:p w:rsidR="005D4FBD" w:rsidP="005D4FBD" w14:paraId="0814B432" w14:textId="77777777">
      <w:pPr>
        <w:spacing w:after="0" w:line="360" w:lineRule="auto"/>
        <w:rPr>
          <w:rFonts w:ascii="Arial Narrow" w:eastAsia="Arial Narrow" w:hAnsi="Arial Narrow" w:cs="Arial Narrow"/>
          <w:sz w:val="16"/>
          <w:szCs w:val="16"/>
          <w:lang w:val="lv-LV"/>
        </w:rPr>
      </w:pPr>
      <w:r>
        <w:rPr>
          <w:rFonts w:ascii="Arial Narrow" w:eastAsia="Arial Narrow" w:hAnsi="Arial Narrow" w:cs="Arial Narrow"/>
          <w:sz w:val="16"/>
          <w:szCs w:val="16"/>
          <w:lang w:val="lv-LV"/>
        </w:rPr>
        <w:t xml:space="preserve">Laura Bunkša, Galvenā </w:t>
      </w:r>
      <w:r>
        <w:rPr>
          <w:rFonts w:ascii="Arial Narrow" w:eastAsia="Arial Narrow" w:hAnsi="Arial Narrow" w:cs="Arial Narrow"/>
          <w:sz w:val="16"/>
          <w:szCs w:val="16"/>
          <w:lang w:val="lv-LV"/>
        </w:rPr>
        <w:t>grāmatvede</w:t>
      </w:r>
    </w:p>
    <w:p w:rsidR="004721D0" w:rsidRPr="00CC307B" w:rsidP="004721D0" w14:textId="012FBDA5">
      <w:pPr>
        <w:spacing w:after="0"/>
        <w:rPr>
          <w:rFonts w:ascii="Arial Narrow" w:eastAsia="Arial Narrow" w:hAnsi="Arial Narrow" w:cs="Arial Narrow"/>
          <w:sz w:val="16"/>
          <w:szCs w:val="16"/>
        </w:rPr>
      </w:pPr>
    </w:p>
    <w:p w:rsidR="00777F05" w:rsidRPr="00CC307B" w:rsidP="004721D0" w14:textId="445C550C">
      <w:pPr>
        <w:spacing w:after="0"/>
        <w:jc w:val="center"/>
        <w:rPr>
          <w:rFonts w:ascii="Arial Narrow" w:eastAsia="Arial Narrow" w:hAnsi="Arial Narrow" w:cs="Arial Narrow"/>
          <w:sz w:val="16"/>
          <w:szCs w:val="16"/>
        </w:rPr>
      </w:pPr>
      <w:r w:rsidRPr="00CC307B">
        <w:rPr>
          <w:rFonts w:ascii="Arial Narrow" w:eastAsia="Arial Narrow" w:hAnsi="Arial Narrow" w:cs="Arial Narrow"/>
          <w:sz w:val="16"/>
          <w:szCs w:val="16"/>
        </w:rPr>
        <w:t>ŠIS DOKUMENTS IR PARAKSTĪTS AR DROŠU ELEKTRONISKO PARAKSTU UN SATUR LAIKA ZĪMOGU</w:t>
      </w:r>
    </w:p>
    <w:p w:rsidR="008B774F" w:rsidRPr="00482275" w:rsidP="00F11DF9" w14:paraId="4135DF58" w14:textId="28A47B11">
      <w:pPr>
        <w:pageBreakBefore/>
        <w:spacing w:after="0"/>
        <w:jc w:val="center"/>
        <w:rPr>
          <w:rFonts w:ascii="Arial Narrow" w:eastAsia="Arial Narrow" w:hAnsi="Arial Narrow" w:cs="Arial Narrow"/>
          <w:b/>
          <w:bCs/>
          <w:sz w:val="20"/>
          <w:szCs w:val="20"/>
        </w:rPr>
      </w:pPr>
      <w:bookmarkStart w:id="1137" w:name="RG_MARKER_6602"/>
      <w:bookmarkStart w:id="1138" w:name="RG_MARKER_6426"/>
      <w:r w:rsidRPr="00482275">
        <w:rPr>
          <w:rFonts w:ascii="Arial Narrow" w:eastAsia="Arial Narrow" w:hAnsi="Arial Narrow" w:cs="Arial Narrow"/>
          <w:b/>
          <w:bCs/>
          <w:sz w:val="20"/>
          <w:szCs w:val="20"/>
        </w:rPr>
        <w:t>Konsolidētā finanšu pārskata pielikums</w:t>
      </w:r>
      <w:bookmarkEnd w:id="1138"/>
      <w:bookmarkEnd w:id="1137"/>
    </w:p>
    <w:p w:rsidR="008B774F" w:rsidRPr="008B774F" w:rsidP="00F11DF9" w14:paraId="4AC601A5" w14:textId="77777777">
      <w:pPr>
        <w:spacing w:after="0"/>
        <w:jc w:val="both"/>
        <w:rPr>
          <w:rFonts w:ascii="Arial Narrow" w:eastAsia="Arial Narrow" w:hAnsi="Arial Narrow" w:cs="Arial Narrow"/>
          <w:sz w:val="14"/>
          <w:szCs w:val="14"/>
        </w:rPr>
      </w:pPr>
      <w:r w:rsidRPr="008B774F">
        <w:rPr>
          <w:rFonts w:ascii="Arial Narrow" w:eastAsia="Arial Narrow" w:hAnsi="Arial Narrow" w:cs="Arial Narrow"/>
          <w:sz w:val="14"/>
          <w:szCs w:val="14"/>
        </w:rPr>
        <w:tab/>
      </w:r>
      <w:r w:rsidRPr="008B774F">
        <w:rPr>
          <w:rFonts w:ascii="Arial Narrow" w:eastAsia="Arial Narrow" w:hAnsi="Arial Narrow" w:cs="Arial Narrow"/>
          <w:sz w:val="14"/>
          <w:szCs w:val="14"/>
        </w:rPr>
        <w:tab/>
      </w:r>
      <w:r w:rsidRPr="008B774F">
        <w:rPr>
          <w:rFonts w:ascii="Arial Narrow" w:eastAsia="Arial Narrow" w:hAnsi="Arial Narrow" w:cs="Arial Narrow"/>
          <w:sz w:val="14"/>
          <w:szCs w:val="14"/>
        </w:rPr>
        <w:tab/>
      </w:r>
      <w:r w:rsidRPr="008B774F">
        <w:rPr>
          <w:rFonts w:ascii="Arial Narrow" w:eastAsia="Arial Narrow" w:hAnsi="Arial Narrow" w:cs="Arial Narrow"/>
          <w:sz w:val="14"/>
          <w:szCs w:val="14"/>
        </w:rPr>
        <w:tab/>
      </w:r>
      <w:r w:rsidRPr="008B774F">
        <w:rPr>
          <w:rFonts w:ascii="Arial Narrow" w:eastAsia="Arial Narrow" w:hAnsi="Arial Narrow" w:cs="Arial Narrow"/>
          <w:sz w:val="14"/>
          <w:szCs w:val="14"/>
        </w:rPr>
        <w:tab/>
      </w:r>
      <w:r w:rsidRPr="008B774F">
        <w:rPr>
          <w:rFonts w:ascii="Arial Narrow" w:eastAsia="Arial Narrow" w:hAnsi="Arial Narrow" w:cs="Arial Narrow"/>
          <w:sz w:val="14"/>
          <w:szCs w:val="14"/>
        </w:rPr>
        <w:tab/>
      </w:r>
      <w:r w:rsidRPr="008B774F">
        <w:rPr>
          <w:rFonts w:ascii="Arial Narrow" w:eastAsia="Arial Narrow" w:hAnsi="Arial Narrow" w:cs="Arial Narrow"/>
          <w:sz w:val="14"/>
          <w:szCs w:val="14"/>
        </w:rPr>
        <w:tab/>
      </w:r>
      <w:r w:rsidRPr="008B774F">
        <w:rPr>
          <w:rFonts w:ascii="Arial Narrow" w:eastAsia="Arial Narrow" w:hAnsi="Arial Narrow" w:cs="Arial Narrow"/>
          <w:sz w:val="14"/>
          <w:szCs w:val="14"/>
        </w:rPr>
        <w:tab/>
      </w:r>
      <w:r w:rsidRPr="008B774F">
        <w:rPr>
          <w:rFonts w:ascii="Arial Narrow" w:eastAsia="Arial Narrow" w:hAnsi="Arial Narrow" w:cs="Arial Narrow"/>
          <w:sz w:val="14"/>
          <w:szCs w:val="14"/>
        </w:rPr>
        <w:tab/>
      </w:r>
    </w:p>
    <w:p w:rsidR="00482275" w:rsidP="00F11DF9" w14:paraId="76C0A241" w14:textId="405DD415">
      <w:pPr>
        <w:spacing w:after="0"/>
        <w:jc w:val="both"/>
        <w:rPr>
          <w:rFonts w:ascii="Arial Narrow" w:eastAsia="Arial Narrow" w:hAnsi="Arial Narrow" w:cs="Arial Narrow"/>
          <w:b/>
          <w:bCs/>
          <w:sz w:val="16"/>
          <w:szCs w:val="16"/>
        </w:rPr>
      </w:pPr>
      <w:r w:rsidRPr="008F5A86">
        <w:rPr>
          <w:rFonts w:ascii="Arial Narrow" w:eastAsia="Arial Narrow" w:hAnsi="Arial Narrow" w:cs="Arial Narrow"/>
          <w:b/>
          <w:bCs/>
          <w:sz w:val="16"/>
          <w:szCs w:val="16"/>
        </w:rPr>
        <w:t>1</w:t>
      </w:r>
      <w:r w:rsidRPr="00482275">
        <w:rPr>
          <w:rFonts w:ascii="Arial Narrow" w:eastAsia="Arial Narrow" w:hAnsi="Arial Narrow" w:cs="Arial Narrow"/>
          <w:b/>
          <w:bCs/>
          <w:sz w:val="16"/>
          <w:szCs w:val="16"/>
        </w:rPr>
        <w:t>. Vispārīga informācija</w:t>
      </w:r>
    </w:p>
    <w:p w:rsidR="008B774F" w:rsidRPr="00482275" w:rsidP="00F11DF9" w14:paraId="2939E624" w14:textId="3A3AA45F">
      <w:pPr>
        <w:spacing w:after="0"/>
        <w:jc w:val="both"/>
        <w:rPr>
          <w:rFonts w:ascii="Arial Narrow" w:eastAsia="Arial Narrow" w:hAnsi="Arial Narrow" w:cs="Arial Narrow"/>
          <w:b/>
          <w:bCs/>
          <w:sz w:val="16"/>
          <w:szCs w:val="16"/>
        </w:rPr>
      </w:pPr>
      <w:r w:rsidRPr="00482275">
        <w:rPr>
          <w:rFonts w:ascii="Arial Narrow" w:eastAsia="Arial Narrow" w:hAnsi="Arial Narrow" w:cs="Arial Narrow"/>
          <w:b/>
          <w:bCs/>
          <w:sz w:val="16"/>
          <w:szCs w:val="16"/>
        </w:rPr>
        <w:tab/>
      </w:r>
      <w:r w:rsidRPr="00482275">
        <w:rPr>
          <w:rFonts w:ascii="Arial Narrow" w:eastAsia="Arial Narrow" w:hAnsi="Arial Narrow" w:cs="Arial Narrow"/>
          <w:b/>
          <w:bCs/>
          <w:sz w:val="16"/>
          <w:szCs w:val="16"/>
        </w:rPr>
        <w:tab/>
      </w:r>
      <w:r w:rsidRPr="00482275">
        <w:rPr>
          <w:rFonts w:ascii="Arial Narrow" w:eastAsia="Arial Narrow" w:hAnsi="Arial Narrow" w:cs="Arial Narrow"/>
          <w:b/>
          <w:bCs/>
          <w:sz w:val="16"/>
          <w:szCs w:val="16"/>
        </w:rPr>
        <w:tab/>
      </w:r>
      <w:r w:rsidRPr="00482275">
        <w:rPr>
          <w:rFonts w:ascii="Arial Narrow" w:eastAsia="Arial Narrow" w:hAnsi="Arial Narrow" w:cs="Arial Narrow"/>
          <w:b/>
          <w:bCs/>
          <w:sz w:val="16"/>
          <w:szCs w:val="16"/>
        </w:rPr>
        <w:tab/>
      </w:r>
      <w:r w:rsidRPr="00482275">
        <w:rPr>
          <w:rFonts w:ascii="Arial Narrow" w:eastAsia="Arial Narrow" w:hAnsi="Arial Narrow" w:cs="Arial Narrow"/>
          <w:b/>
          <w:bCs/>
          <w:sz w:val="16"/>
          <w:szCs w:val="16"/>
        </w:rPr>
        <w:tab/>
      </w:r>
      <w:r w:rsidRPr="00482275">
        <w:rPr>
          <w:rFonts w:ascii="Arial Narrow" w:eastAsia="Arial Narrow" w:hAnsi="Arial Narrow" w:cs="Arial Narrow"/>
          <w:b/>
          <w:bCs/>
          <w:sz w:val="16"/>
          <w:szCs w:val="16"/>
        </w:rPr>
        <w:tab/>
      </w:r>
      <w:r w:rsidRPr="00482275">
        <w:rPr>
          <w:rFonts w:ascii="Arial Narrow" w:eastAsia="Arial Narrow" w:hAnsi="Arial Narrow" w:cs="Arial Narrow"/>
          <w:b/>
          <w:bCs/>
          <w:sz w:val="16"/>
          <w:szCs w:val="16"/>
        </w:rPr>
        <w:tab/>
      </w:r>
      <w:r w:rsidRPr="00482275">
        <w:rPr>
          <w:rFonts w:ascii="Arial Narrow" w:eastAsia="Arial Narrow" w:hAnsi="Arial Narrow" w:cs="Arial Narrow"/>
          <w:b/>
          <w:bCs/>
          <w:sz w:val="16"/>
          <w:szCs w:val="16"/>
        </w:rPr>
        <w:tab/>
      </w:r>
    </w:p>
    <w:p w:rsidR="00AA0B5E" w:rsidRPr="00AA0B5E" w:rsidP="00AA0B5E" w14:paraId="22A4D7DE" w14:textId="77777777">
      <w:pPr>
        <w:spacing w:after="0"/>
        <w:ind w:firstLine="720"/>
        <w:jc w:val="both"/>
        <w:rPr>
          <w:rFonts w:ascii="Arial Narrow" w:eastAsia="Arial Narrow" w:hAnsi="Arial Narrow" w:cs="Arial Narrow"/>
          <w:sz w:val="16"/>
          <w:szCs w:val="16"/>
          <w:lang w:val="lv-LV"/>
        </w:rPr>
      </w:pPr>
      <w:r w:rsidRPr="00AA0B5E">
        <w:rPr>
          <w:rFonts w:ascii="Arial Narrow" w:eastAsia="Arial Narrow" w:hAnsi="Arial Narrow" w:cs="Arial Narrow"/>
          <w:sz w:val="16"/>
          <w:szCs w:val="16"/>
          <w:lang w:val="lv-LV"/>
        </w:rPr>
        <w:t>AS “Mogo</w:t>
      </w:r>
      <w:r w:rsidRPr="00AA0B5E">
        <w:rPr>
          <w:rFonts w:ascii="Arial Narrow" w:eastAsia="Arial Narrow" w:hAnsi="Arial Narrow" w:cs="Arial Narrow"/>
          <w:sz w:val="16"/>
          <w:szCs w:val="16"/>
          <w:lang w:val="lv-LV"/>
        </w:rPr>
        <w:t xml:space="preserve">” (turpmāk tekstā – Mātes sabiedrība) un tās meitas sabiedrības (turpmāk tekstā kopā - Koncerns) atrodas </w:t>
      </w:r>
      <w:bookmarkStart w:id="1139" w:name="XBRL_CS_c5f03c9da80b4aa1afea3b2c2d89b64e"/>
      <w:r w:rsidRPr="00CB4388">
        <w:rPr>
          <w:rFonts w:ascii="Arial Narrow" w:eastAsia="Arial Narrow" w:hAnsi="Arial Narrow" w:cs="Arial Narrow"/>
          <w:sz w:val="16"/>
          <w:szCs w:val="16"/>
          <w:lang w:val="lv-LV"/>
        </w:rPr>
        <w:t>Latvijas Republikā</w:t>
      </w:r>
      <w:bookmarkStart w:id="1140" w:name="XBRL_CE_c5f03c9da80b4aa1afea3b2c2d89b64e"/>
      <w:bookmarkEnd w:id="1139"/>
      <w:bookmarkEnd w:id="1140"/>
      <w:r w:rsidRPr="00AA0B5E">
        <w:rPr>
          <w:rFonts w:ascii="Arial Narrow" w:eastAsia="Arial Narrow" w:hAnsi="Arial Narrow" w:cs="Arial Narrow"/>
          <w:sz w:val="16"/>
          <w:szCs w:val="16"/>
          <w:lang w:val="lv-LV"/>
        </w:rPr>
        <w:t>. Mātes sabiedrība tika reģistrēta Latvijas Republikas Uzņēmumu reģistrā 2012. gada 3. maijā kā akciju sabiedrība uz neierobežotu lai</w:t>
      </w:r>
      <w:r w:rsidRPr="00AA0B5E">
        <w:rPr>
          <w:rFonts w:ascii="Arial Narrow" w:eastAsia="Arial Narrow" w:hAnsi="Arial Narrow" w:cs="Arial Narrow"/>
          <w:sz w:val="16"/>
          <w:szCs w:val="16"/>
          <w:lang w:val="lv-LV"/>
        </w:rPr>
        <w:t xml:space="preserve">ku saskaņā ar vispārējām uzņēmējdarbības tiesībām. </w:t>
      </w:r>
    </w:p>
    <w:p w:rsidR="00AA0B5E" w:rsidRPr="00AA0B5E" w:rsidP="00AA0B5E" w14:paraId="28FA24A9" w14:textId="402451BD">
      <w:pPr>
        <w:spacing w:after="0"/>
        <w:jc w:val="both"/>
        <w:rPr>
          <w:rFonts w:ascii="Arial Narrow" w:eastAsia="Arial Narrow" w:hAnsi="Arial Narrow" w:cs="Arial Narrow"/>
          <w:sz w:val="16"/>
          <w:szCs w:val="16"/>
          <w:lang w:val="lv-LV"/>
        </w:rPr>
      </w:pPr>
      <w:r>
        <w:rPr>
          <w:rFonts w:ascii="Arial Narrow" w:eastAsia="Arial Narrow" w:hAnsi="Arial Narrow" w:cs="Arial Narrow"/>
          <w:sz w:val="16"/>
          <w:szCs w:val="16"/>
          <w:lang w:val="lv-LV"/>
        </w:rPr>
        <w:tab/>
      </w:r>
    </w:p>
    <w:p w:rsidR="00AA0B5E" w:rsidRPr="00AA0B5E" w:rsidP="00AA0B5E" w14:paraId="1F5D2609" w14:textId="61DD0DCB">
      <w:pPr>
        <w:spacing w:after="0"/>
        <w:ind w:firstLine="720"/>
        <w:jc w:val="both"/>
        <w:rPr>
          <w:rFonts w:ascii="Arial Narrow" w:eastAsia="Arial Narrow" w:hAnsi="Arial Narrow" w:cs="Arial Narrow"/>
          <w:sz w:val="16"/>
          <w:szCs w:val="16"/>
          <w:lang w:val="lv-LV"/>
        </w:rPr>
      </w:pPr>
      <w:r w:rsidRPr="00AA0B5E">
        <w:rPr>
          <w:rFonts w:ascii="Arial Narrow" w:eastAsia="Arial Narrow" w:hAnsi="Arial Narrow" w:cs="Arial Narrow"/>
          <w:sz w:val="16"/>
          <w:szCs w:val="16"/>
          <w:lang w:val="lv-LV"/>
        </w:rPr>
        <w:t>“Mogo” AS Koncerna mātes sabiedrība ir Eleving Group S.A. (Luksemburga). “Mogo” AS patiesais labuma guvējs ir Aigars Kesenfelds (</w:t>
      </w:r>
      <w:r>
        <w:rPr>
          <w:rFonts w:ascii="Arial Narrow" w:eastAsia="Arial Narrow" w:hAnsi="Arial Narrow" w:cs="Arial Narrow"/>
          <w:sz w:val="16"/>
          <w:szCs w:val="16"/>
          <w:lang w:val="lv-LV"/>
        </w:rPr>
        <w:t>37,985</w:t>
      </w:r>
      <w:r w:rsidRPr="00AA0B5E">
        <w:rPr>
          <w:rFonts w:ascii="Arial Narrow" w:eastAsia="Arial Narrow" w:hAnsi="Arial Narrow" w:cs="Arial Narrow"/>
          <w:sz w:val="16"/>
          <w:szCs w:val="16"/>
          <w:lang w:val="lv-LV"/>
        </w:rPr>
        <w:t>%). Pārējo akcionāru līdzdalība nepārsniedz 25%.</w:t>
      </w:r>
    </w:p>
    <w:p w:rsidR="00AA0B5E" w:rsidRPr="00AA0B5E" w:rsidP="00AA0B5E" w14:paraId="5388FB6A" w14:textId="77777777">
      <w:pPr>
        <w:spacing w:after="0"/>
        <w:jc w:val="both"/>
        <w:rPr>
          <w:rFonts w:ascii="Arial Narrow" w:eastAsia="Arial Narrow" w:hAnsi="Arial Narrow" w:cs="Arial Narrow"/>
          <w:sz w:val="16"/>
          <w:szCs w:val="16"/>
          <w:lang w:val="lv-LV"/>
        </w:rPr>
      </w:pPr>
    </w:p>
    <w:p w:rsidR="00777F05" w:rsidRPr="00AA0B5E" w:rsidP="00AA0B5E" w14:textId="4921EAAC">
      <w:pPr>
        <w:spacing w:after="0"/>
        <w:jc w:val="both"/>
        <w:rPr>
          <w:rFonts w:ascii="Arial Narrow" w:eastAsia="Arial Narrow" w:hAnsi="Arial Narrow" w:cs="Arial Narrow"/>
          <w:sz w:val="16"/>
          <w:szCs w:val="16"/>
          <w:lang w:val="lv-LV"/>
        </w:rPr>
      </w:pPr>
      <w:r w:rsidRPr="00AA0B5E">
        <w:rPr>
          <w:rFonts w:ascii="Arial Narrow" w:eastAsia="Arial Narrow" w:hAnsi="Arial Narrow" w:cs="Arial Narrow"/>
          <w:sz w:val="16"/>
          <w:szCs w:val="16"/>
          <w:lang w:val="lv-LV"/>
        </w:rPr>
        <w:t>Koncerna konsolid</w:t>
      </w:r>
      <w:r w:rsidRPr="00AA0B5E">
        <w:rPr>
          <w:rFonts w:ascii="Arial Narrow" w:eastAsia="Arial Narrow" w:hAnsi="Arial Narrow" w:cs="Arial Narrow"/>
          <w:sz w:val="16"/>
          <w:szCs w:val="16"/>
          <w:lang w:val="lv-LV"/>
        </w:rPr>
        <w:t>ētajā finanšu pārskatā ir ietvertas meitas sabiedrība</w:t>
      </w:r>
      <w:r w:rsidRPr="00AA0B5E" w:rsidR="00FB02C3">
        <w:rPr>
          <w:rFonts w:ascii="Arial Narrow" w:eastAsia="Arial Narrow" w:hAnsi="Arial Narrow" w:cs="Arial Narrow"/>
          <w:sz w:val="16"/>
          <w:szCs w:val="16"/>
          <w:lang w:val="lv-LV"/>
        </w:rPr>
        <w:tab/>
      </w:r>
    </w:p>
    <w:tbl>
      <w:tblPr>
        <w:tblStyle w:val="CDMRange2"/>
        <w:tblW w:w="9600" w:type="dxa"/>
        <w:tblLayout w:type="fixed"/>
        <w:tblLook w:val="0600"/>
      </w:tblPr>
      <w:tblGrid>
        <w:gridCol w:w="1125"/>
        <w:gridCol w:w="1575"/>
        <w:gridCol w:w="1800"/>
        <w:gridCol w:w="1800"/>
        <w:gridCol w:w="1350"/>
        <w:gridCol w:w="975"/>
        <w:gridCol w:w="975"/>
      </w:tblGrid>
      <w:tr>
        <w:tblPrEx>
          <w:tblW w:w="9600" w:type="dxa"/>
          <w:tblLayout w:type="fixed"/>
          <w:tblLook w:val="0600"/>
        </w:tblPrEx>
        <w:trPr>
          <w:cantSplit/>
          <w:trHeight w:val="255"/>
        </w:trPr>
        <w:tc>
          <w:tcPr>
            <w:tcW w:w="112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75" w:type="dxa"/>
            <w:vMerge w:val="restart"/>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Reģistrācijas datums</w:t>
            </w:r>
          </w:p>
        </w:tc>
        <w:tc>
          <w:tcPr>
            <w:tcW w:w="18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Reģistrācijas numurs</w:t>
            </w:r>
          </w:p>
        </w:tc>
        <w:tc>
          <w:tcPr>
            <w:tcW w:w="18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Reģistrācijas valsts</w:t>
            </w:r>
          </w:p>
        </w:tc>
        <w:tc>
          <w:tcPr>
            <w:tcW w:w="135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Darbības veids</w:t>
            </w:r>
          </w:p>
        </w:tc>
        <w:tc>
          <w:tcPr>
            <w:tcW w:w="1950" w:type="dxa"/>
            <w:gridSpan w:val="2"/>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Līdzdalības daļa, %</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1125"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Nosaukums</w:t>
            </w:r>
          </w:p>
        </w:tc>
        <w:tc>
          <w:tcPr>
            <w:tcW w:w="1575" w:type="dxa"/>
            <w:vMerge/>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8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8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35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75"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2021</w:t>
            </w:r>
          </w:p>
        </w:tc>
        <w:tc>
          <w:tcPr>
            <w:tcW w:w="975"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1125"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Renti JSC</w:t>
            </w:r>
          </w:p>
        </w:tc>
        <w:tc>
          <w:tcPr>
            <w:tcW w:w="1575"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10/10/2018</w:t>
            </w:r>
          </w:p>
        </w:tc>
        <w:tc>
          <w:tcPr>
            <w:tcW w:w="18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LV40203174147</w:t>
            </w:r>
          </w:p>
        </w:tc>
        <w:tc>
          <w:tcPr>
            <w:tcW w:w="18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Latvija</w:t>
            </w:r>
          </w:p>
        </w:tc>
        <w:tc>
          <w:tcPr>
            <w:tcW w:w="1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Nomas pakalpojumi</w:t>
            </w:r>
          </w:p>
        </w:tc>
        <w:tc>
          <w:tcPr>
            <w:tcW w:w="975"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100%</w:t>
            </w:r>
          </w:p>
        </w:tc>
        <w:tc>
          <w:tcPr>
            <w:tcW w:w="975"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100%</w:t>
            </w:r>
          </w:p>
        </w:tc>
      </w:tr>
    </w:tbl>
    <w:p>
      <w:pPr>
        <w:spacing w:before="0" w:beforeAutospacing="0" w:after="0" w:afterAutospacing="0" w:line="240" w:lineRule="auto"/>
        <w:rPr>
          <w:rFonts w:ascii="Arial Narrow" w:eastAsia="Arial Narrow" w:hAnsi="Arial Narrow" w:cs="Arial Narrow"/>
          <w:sz w:val="16"/>
        </w:rPr>
      </w:pPr>
    </w:p>
    <w:p w:rsidR="006B0D29" w:rsidRPr="00745209" w:rsidP="006B0D29" w14:paraId="4C456598" w14:textId="77777777">
      <w:pPr>
        <w:spacing w:after="0"/>
        <w:ind w:firstLine="720"/>
        <w:jc w:val="both"/>
        <w:rPr>
          <w:rFonts w:ascii="Arial Narrow" w:eastAsia="Arial Narrow" w:hAnsi="Arial Narrow" w:cs="Arial Narrow"/>
          <w:sz w:val="16"/>
          <w:szCs w:val="16"/>
          <w:lang w:val="lv-LV"/>
        </w:rPr>
      </w:pPr>
      <w:bookmarkStart w:id="1141" w:name="RG_MARKER_6603"/>
      <w:bookmarkStart w:id="1142" w:name="XBRL_CS_61d03963bdc046d68ba95704d351d3f0"/>
      <w:r w:rsidRPr="00745209">
        <w:rPr>
          <w:rFonts w:ascii="Arial Narrow" w:eastAsia="Arial Narrow" w:hAnsi="Arial Narrow" w:cs="Arial Narrow"/>
          <w:sz w:val="16"/>
          <w:szCs w:val="16"/>
          <w:lang w:val="lv-LV"/>
        </w:rPr>
        <w:t>Koncerns nodarbojas galvenokārt ar finanšu nomas pakalpojumu sniegšanu, pārdošanu ar saņemšanu atpakaļ nomā un patēriņa kredītu izsniegšanu klientiem, kā arī ar transportlīdzekļu nomu.</w:t>
      </w:r>
      <w:bookmarkStart w:id="1143" w:name="XBRL_CE_61d03963bdc046d68ba95704d351d3f0"/>
      <w:bookmarkEnd w:id="1142"/>
      <w:bookmarkEnd w:id="1143"/>
      <w:bookmarkEnd w:id="1141"/>
    </w:p>
    <w:p w:rsidR="006B0D29" w:rsidRPr="006B0D29" w:rsidP="006B0D29" w14:paraId="1D575F3F" w14:textId="77777777">
      <w:pPr>
        <w:spacing w:after="0"/>
        <w:jc w:val="both"/>
        <w:rPr>
          <w:rFonts w:ascii="Arial Narrow" w:eastAsia="Arial Narrow" w:hAnsi="Arial Narrow" w:cs="Arial Narrow"/>
          <w:sz w:val="16"/>
          <w:szCs w:val="16"/>
          <w:lang w:val="lv-LV"/>
        </w:rPr>
      </w:pPr>
    </w:p>
    <w:p w:rsidR="006B0D29" w:rsidRPr="006B0D29" w:rsidP="006B0D29" w14:paraId="3BEDC45C" w14:textId="7BCF8670">
      <w:pPr>
        <w:spacing w:after="0"/>
        <w:ind w:firstLine="720"/>
        <w:jc w:val="both"/>
        <w:rPr>
          <w:rFonts w:ascii="Arial Narrow" w:eastAsia="Arial Narrow" w:hAnsi="Arial Narrow" w:cs="Arial Narrow"/>
          <w:sz w:val="16"/>
          <w:szCs w:val="16"/>
          <w:lang w:val="lv-LV"/>
        </w:rPr>
      </w:pPr>
      <w:r w:rsidRPr="006B0D29">
        <w:rPr>
          <w:rFonts w:ascii="Arial Narrow" w:eastAsia="Arial Narrow" w:hAnsi="Arial Narrow" w:cs="Arial Narrow"/>
          <w:sz w:val="16"/>
          <w:szCs w:val="16"/>
          <w:lang w:val="lv-LV"/>
        </w:rPr>
        <w:t xml:space="preserve">2021. gada 1. martā, īstenojot publisko piedāvājumu, </w:t>
      </w:r>
      <w:r>
        <w:rPr>
          <w:rFonts w:ascii="Arial Narrow" w:eastAsia="Arial Narrow" w:hAnsi="Arial Narrow" w:cs="Arial Narrow"/>
          <w:sz w:val="16"/>
          <w:szCs w:val="16"/>
          <w:lang w:val="lv-LV"/>
        </w:rPr>
        <w:t xml:space="preserve">Mātes </w:t>
      </w:r>
      <w:r w:rsidRPr="006B0D29">
        <w:rPr>
          <w:rFonts w:ascii="Arial Narrow" w:eastAsia="Arial Narrow" w:hAnsi="Arial Narrow" w:cs="Arial Narrow"/>
          <w:sz w:val="16"/>
          <w:szCs w:val="16"/>
          <w:lang w:val="lv-LV"/>
        </w:rPr>
        <w:t xml:space="preserve">Sabiedrība emitēja nodrošinātās korporatīvās obligācijas (LV0000802452) EUR 30 miljonu vērtībā, kuras no 2021. gada 31. marta atrodas regulētā tirgū – Nasdaq Riga Baltijas Regulētajā tirgū. </w:t>
      </w:r>
    </w:p>
    <w:p w:rsidR="006B0D29" w:rsidRPr="006B0D29" w:rsidP="006B0D29" w14:paraId="2B92DA69" w14:textId="77777777">
      <w:pPr>
        <w:spacing w:after="0"/>
        <w:jc w:val="both"/>
        <w:rPr>
          <w:rFonts w:ascii="Arial Narrow" w:eastAsia="Arial Narrow" w:hAnsi="Arial Narrow" w:cs="Arial Narrow"/>
          <w:sz w:val="16"/>
          <w:szCs w:val="16"/>
          <w:lang w:val="lv-LV"/>
        </w:rPr>
      </w:pPr>
    </w:p>
    <w:p w:rsidR="006B0D29" w:rsidP="006B0D29" w14:paraId="3BD1B195" w14:textId="0FCDA142">
      <w:pPr>
        <w:spacing w:after="0"/>
        <w:jc w:val="both"/>
        <w:rPr>
          <w:rFonts w:ascii="Arial Narrow" w:eastAsia="Arial Narrow" w:hAnsi="Arial Narrow" w:cs="Arial Narrow"/>
          <w:sz w:val="16"/>
          <w:szCs w:val="16"/>
          <w:lang w:val="lv-LV"/>
        </w:rPr>
      </w:pPr>
      <w:r w:rsidRPr="006B0D29">
        <w:rPr>
          <w:rFonts w:ascii="Arial Narrow" w:eastAsia="Arial Narrow" w:hAnsi="Arial Narrow" w:cs="Arial Narrow"/>
          <w:sz w:val="16"/>
          <w:szCs w:val="16"/>
          <w:lang w:val="lv-LV"/>
        </w:rPr>
        <w:t>Konso</w:t>
      </w:r>
      <w:r w:rsidRPr="006B0D29">
        <w:rPr>
          <w:rFonts w:ascii="Arial Narrow" w:eastAsia="Arial Narrow" w:hAnsi="Arial Narrow" w:cs="Arial Narrow"/>
          <w:sz w:val="16"/>
          <w:szCs w:val="16"/>
          <w:lang w:val="lv-LV"/>
        </w:rPr>
        <w:t>lidētie finanšu pārskati par 2021. gadu ir apstiprināti ar valdes lēmumu 2022. gada 29. aprīlī.</w:t>
      </w:r>
    </w:p>
    <w:p w:rsidR="006B0D29" w:rsidRPr="006B0D29" w:rsidP="006B0D29" w14:paraId="5EB01D38" w14:textId="77777777">
      <w:pPr>
        <w:spacing w:after="0"/>
        <w:jc w:val="both"/>
        <w:rPr>
          <w:rFonts w:ascii="Arial Narrow" w:eastAsia="Arial Narrow" w:hAnsi="Arial Narrow" w:cs="Arial Narrow"/>
          <w:sz w:val="16"/>
          <w:szCs w:val="16"/>
          <w:lang w:val="lv-LV"/>
        </w:rPr>
      </w:pPr>
    </w:p>
    <w:p w:rsidR="00777F05" w:rsidRPr="00AC49EA" w:rsidP="006B0D29" w14:textId="769666E2">
      <w:pPr>
        <w:spacing w:after="0"/>
        <w:jc w:val="both"/>
        <w:rPr>
          <w:rFonts w:ascii="Arial Narrow" w:eastAsia="Arial Narrow" w:hAnsi="Arial Narrow" w:cs="Arial Narrow"/>
          <w:sz w:val="14"/>
          <w:szCs w:val="14"/>
          <w:lang w:val="lv-LV"/>
        </w:rPr>
      </w:pPr>
      <w:r w:rsidRPr="006B0D29">
        <w:rPr>
          <w:rFonts w:ascii="Arial Narrow" w:eastAsia="Arial Narrow" w:hAnsi="Arial Narrow" w:cs="Arial Narrow"/>
          <w:sz w:val="16"/>
          <w:szCs w:val="16"/>
          <w:lang w:val="lv-LV"/>
        </w:rPr>
        <w:t>Akcionāriem ir tiesības labot konsolidēto finanšu pārskatu pēc tā apstiprināšanas valdē.</w:t>
      </w:r>
      <w:r w:rsidRPr="007C589D">
        <w:rPr>
          <w:rFonts w:ascii="Arial Narrow" w:eastAsia="Arial Narrow" w:hAnsi="Arial Narrow" w:cs="Arial Narrow"/>
          <w:sz w:val="16"/>
          <w:szCs w:val="16"/>
          <w:lang w:val="lv-LV"/>
        </w:rPr>
        <w:tab/>
      </w:r>
      <w:r w:rsidRPr="00AC49EA">
        <w:rPr>
          <w:rFonts w:ascii="Arial Narrow" w:eastAsia="Arial Narrow" w:hAnsi="Arial Narrow" w:cs="Arial Narrow"/>
          <w:sz w:val="16"/>
          <w:szCs w:val="16"/>
        </w:rPr>
        <w:tab/>
      </w:r>
      <w:r w:rsidRPr="00AC49EA">
        <w:rPr>
          <w:rFonts w:ascii="Arial Narrow" w:eastAsia="Arial Narrow" w:hAnsi="Arial Narrow" w:cs="Arial Narrow"/>
          <w:sz w:val="16"/>
          <w:szCs w:val="16"/>
        </w:rPr>
        <w:tab/>
      </w:r>
      <w:r w:rsidRPr="002B0B40">
        <w:rPr>
          <w:rFonts w:ascii="Arial Narrow" w:eastAsia="Arial Narrow" w:hAnsi="Arial Narrow" w:cs="Arial Narrow"/>
          <w:sz w:val="14"/>
          <w:szCs w:val="14"/>
        </w:rPr>
        <w:tab/>
      </w:r>
      <w:r w:rsidRPr="002B0B40">
        <w:rPr>
          <w:rFonts w:ascii="Arial Narrow" w:eastAsia="Arial Narrow" w:hAnsi="Arial Narrow" w:cs="Arial Narrow"/>
          <w:sz w:val="14"/>
          <w:szCs w:val="14"/>
        </w:rPr>
        <w:tab/>
      </w:r>
      <w:r w:rsidRPr="002B0B40">
        <w:rPr>
          <w:rFonts w:ascii="Arial Narrow" w:eastAsia="Arial Narrow" w:hAnsi="Arial Narrow" w:cs="Arial Narrow"/>
          <w:sz w:val="14"/>
          <w:szCs w:val="14"/>
        </w:rPr>
        <w:tab/>
      </w:r>
      <w:r w:rsidRPr="002B0B40">
        <w:rPr>
          <w:rFonts w:ascii="Arial Narrow" w:eastAsia="Arial Narrow" w:hAnsi="Arial Narrow" w:cs="Arial Narrow"/>
          <w:sz w:val="14"/>
          <w:szCs w:val="14"/>
        </w:rPr>
        <w:tab/>
      </w:r>
      <w:r w:rsidRPr="002B0B40">
        <w:rPr>
          <w:rFonts w:ascii="Arial Narrow" w:eastAsia="Arial Narrow" w:hAnsi="Arial Narrow" w:cs="Arial Narrow"/>
          <w:sz w:val="14"/>
          <w:szCs w:val="14"/>
        </w:rPr>
        <w:tab/>
      </w:r>
      <w:r w:rsidRPr="002B0B40">
        <w:rPr>
          <w:rFonts w:ascii="Arial Narrow" w:eastAsia="Arial Narrow" w:hAnsi="Arial Narrow" w:cs="Arial Narrow"/>
          <w:sz w:val="14"/>
          <w:szCs w:val="14"/>
        </w:rPr>
        <w:tab/>
      </w:r>
    </w:p>
    <w:p/>
    <w:p w:rsidR="001F43EB" w:rsidRPr="00591FE3" w:rsidP="00B0139C" w14:paraId="2B309B35" w14:textId="2B6D4F79">
      <w:pPr>
        <w:keepLines/>
        <w:spacing w:after="0"/>
        <w:jc w:val="both"/>
        <w:rPr>
          <w:rFonts w:ascii="Arial Narrow" w:eastAsia="Arial Narrow" w:hAnsi="Arial Narrow" w:cs="Arial Narrow"/>
          <w:b/>
          <w:bCs/>
          <w:sz w:val="16"/>
          <w:szCs w:val="16"/>
          <w:lang w:val="lv-LV"/>
        </w:rPr>
      </w:pPr>
      <w:bookmarkStart w:id="1144" w:name="RG_MARKER_6604"/>
      <w:bookmarkStart w:id="1145" w:name="RG_MARKER_6427"/>
      <w:r w:rsidRPr="00591FE3">
        <w:rPr>
          <w:rFonts w:ascii="Arial Narrow" w:eastAsia="Arial Narrow" w:hAnsi="Arial Narrow" w:cs="Arial Narrow"/>
          <w:b/>
          <w:bCs/>
          <w:sz w:val="16"/>
          <w:szCs w:val="16"/>
          <w:lang w:val="lv-LV"/>
        </w:rPr>
        <w:t>2</w:t>
      </w:r>
      <w:bookmarkEnd w:id="1145"/>
      <w:bookmarkEnd w:id="1144"/>
      <w:r w:rsidRPr="00591FE3">
        <w:rPr>
          <w:rFonts w:ascii="Arial Narrow" w:eastAsia="Arial Narrow" w:hAnsi="Arial Narrow" w:cs="Arial Narrow"/>
          <w:b/>
          <w:bCs/>
          <w:sz w:val="16"/>
          <w:szCs w:val="16"/>
          <w:lang w:val="lv-LV"/>
        </w:rPr>
        <w:t>. Nozīmīgi grāmatvedības uzskaites principi</w:t>
      </w:r>
    </w:p>
    <w:p w:rsidR="001F43EB" w:rsidRPr="00591FE3" w:rsidP="00B0139C" w14:paraId="02BEF90E" w14:textId="5D59DCD0">
      <w:pPr>
        <w:keepLines/>
        <w:spacing w:after="0"/>
        <w:jc w:val="both"/>
        <w:rPr>
          <w:rFonts w:ascii="Arial Narrow" w:eastAsia="Arial Narrow" w:hAnsi="Arial Narrow" w:cs="Arial Narrow"/>
          <w:b/>
          <w:bCs/>
          <w:sz w:val="16"/>
          <w:szCs w:val="16"/>
          <w:lang w:val="lv-LV"/>
        </w:rPr>
      </w:pPr>
    </w:p>
    <w:p w:rsidR="001F43EB" w:rsidRPr="00591FE3" w:rsidP="00B0139C" w14:paraId="7365356C" w14:textId="7F761F8F">
      <w:pPr>
        <w:keepLines/>
        <w:spacing w:after="0"/>
        <w:jc w:val="both"/>
        <w:rPr>
          <w:rFonts w:ascii="Arial Narrow" w:eastAsia="Arial Narrow" w:hAnsi="Arial Narrow" w:cs="Arial Narrow"/>
          <w:b/>
          <w:bCs/>
          <w:sz w:val="16"/>
          <w:szCs w:val="16"/>
          <w:lang w:val="lv-LV"/>
        </w:rPr>
      </w:pPr>
      <w:r w:rsidRPr="00591FE3">
        <w:rPr>
          <w:rFonts w:ascii="Arial Narrow" w:eastAsia="Arial Narrow" w:hAnsi="Arial Narrow" w:cs="Arial Narrow"/>
          <w:b/>
          <w:bCs/>
          <w:sz w:val="16"/>
          <w:szCs w:val="16"/>
          <w:lang w:val="lv-LV"/>
        </w:rPr>
        <w:t>a) Finanšu pārskatu sagatavošanas pamatnostādnes</w:t>
      </w:r>
    </w:p>
    <w:p w:rsidR="00A10D55" w:rsidRPr="00591FE3" w:rsidP="00B0139C" w14:paraId="71A5B0C6" w14:textId="77777777">
      <w:pPr>
        <w:keepLines/>
        <w:spacing w:after="0"/>
        <w:jc w:val="both"/>
        <w:rPr>
          <w:rFonts w:ascii="Arial Narrow" w:eastAsia="Arial Narrow" w:hAnsi="Arial Narrow" w:cs="Arial Narrow"/>
          <w:sz w:val="16"/>
          <w:szCs w:val="16"/>
          <w:lang w:val="lv-LV"/>
        </w:rPr>
      </w:pPr>
    </w:p>
    <w:p w:rsidR="002062D9" w:rsidRPr="002062D9" w:rsidP="002062D9" w14:paraId="6E97725A" w14:textId="67534311">
      <w:pPr>
        <w:keepLines/>
        <w:spacing w:after="0"/>
        <w:ind w:firstLine="720"/>
        <w:jc w:val="both"/>
        <w:rPr>
          <w:rFonts w:ascii="Arial Narrow" w:eastAsia="Arial Narrow" w:hAnsi="Arial Narrow" w:cs="Arial Narrow"/>
          <w:sz w:val="16"/>
          <w:szCs w:val="16"/>
          <w:lang w:val="lv-LV"/>
        </w:rPr>
      </w:pPr>
      <w:r w:rsidRPr="002062D9">
        <w:rPr>
          <w:rFonts w:ascii="Arial Narrow" w:eastAsia="Arial Narrow" w:hAnsi="Arial Narrow" w:cs="Arial Narrow"/>
          <w:sz w:val="16"/>
          <w:szCs w:val="16"/>
          <w:lang w:val="lv-LV"/>
        </w:rPr>
        <w:t xml:space="preserve">Konsolidētie finanšu pārskati par gadu, kas noslēdzās 31.12.2021., ir sagatavoti saskaņā ar Eiropas Savienībā apstiprinātajiem </w:t>
      </w:r>
      <w:r w:rsidRPr="002062D9">
        <w:rPr>
          <w:rFonts w:ascii="Arial Narrow" w:eastAsia="Arial Narrow" w:hAnsi="Arial Narrow" w:cs="Arial Narrow"/>
          <w:sz w:val="16"/>
          <w:szCs w:val="16"/>
          <w:lang w:val="lv-LV"/>
        </w:rPr>
        <w:t>Starptautiskajiem finanšu pārskatu standartiem.</w:t>
      </w:r>
    </w:p>
    <w:p w:rsidR="002062D9" w:rsidP="002062D9" w14:paraId="496FB3C4" w14:textId="77777777">
      <w:pPr>
        <w:keepLines/>
        <w:spacing w:after="0"/>
        <w:ind w:firstLine="720"/>
        <w:jc w:val="both"/>
        <w:rPr>
          <w:rFonts w:ascii="Arial Narrow" w:eastAsia="Arial Narrow" w:hAnsi="Arial Narrow" w:cs="Arial Narrow"/>
          <w:sz w:val="16"/>
          <w:szCs w:val="16"/>
          <w:lang w:val="lv-LV"/>
        </w:rPr>
      </w:pPr>
      <w:r w:rsidRPr="002062D9">
        <w:rPr>
          <w:rFonts w:ascii="Arial Narrow" w:eastAsia="Arial Narrow" w:hAnsi="Arial Narrow" w:cs="Arial Narrow"/>
          <w:sz w:val="16"/>
          <w:szCs w:val="16"/>
          <w:lang w:val="lv-LV"/>
        </w:rPr>
        <w:t xml:space="preserve">Koncerna konsolidētos finanšu pārskatus ietekmē grāmatvedības politikas, pieņēmumi, aplēses un vadības spriedumi (3. piezīme), kas jāveic, sagatavojot konsolidētos finanšu pārskatus. </w:t>
      </w:r>
    </w:p>
    <w:p w:rsidR="002062D9" w:rsidP="002062D9" w14:paraId="0C3BA5C6" w14:textId="77777777">
      <w:pPr>
        <w:keepLines/>
        <w:spacing w:after="0"/>
        <w:ind w:firstLine="720"/>
        <w:jc w:val="both"/>
        <w:rPr>
          <w:rFonts w:ascii="Arial Narrow" w:eastAsia="Arial Narrow" w:hAnsi="Arial Narrow" w:cs="Arial Narrow"/>
          <w:sz w:val="16"/>
          <w:szCs w:val="16"/>
          <w:lang w:val="lv-LV"/>
        </w:rPr>
      </w:pPr>
      <w:r w:rsidRPr="002062D9">
        <w:rPr>
          <w:rFonts w:ascii="Arial Narrow" w:eastAsia="Arial Narrow" w:hAnsi="Arial Narrow" w:cs="Arial Narrow"/>
          <w:sz w:val="16"/>
          <w:szCs w:val="16"/>
          <w:lang w:val="lv-LV"/>
        </w:rPr>
        <w:t>Koncerns veic aplēses un</w:t>
      </w:r>
      <w:r w:rsidRPr="002062D9">
        <w:rPr>
          <w:rFonts w:ascii="Arial Narrow" w:eastAsia="Arial Narrow" w:hAnsi="Arial Narrow" w:cs="Arial Narrow"/>
          <w:sz w:val="16"/>
          <w:szCs w:val="16"/>
          <w:lang w:val="lv-LV"/>
        </w:rPr>
        <w:t xml:space="preserve"> izdara pieņēmumus, kas ietekmē aktīvu un saistību vērtību pārskata un turpmākajā periodā. Visas aplēses un pieņēmumi, kas izdarīti saskaņā ar Starptautiskajiem finanšu pārskatu standartiem (SFPS), ir vislabākās iespējamās aplēses atbilstoši piemērojamajam</w:t>
      </w:r>
      <w:r w:rsidRPr="002062D9">
        <w:rPr>
          <w:rFonts w:ascii="Arial Narrow" w:eastAsia="Arial Narrow" w:hAnsi="Arial Narrow" w:cs="Arial Narrow"/>
          <w:sz w:val="16"/>
          <w:szCs w:val="16"/>
          <w:lang w:val="lv-LV"/>
        </w:rPr>
        <w:t xml:space="preserve"> standartam. Aplēses un spriedumi tiek pastāvīgi izvērtēti, un tie tiek veikti, pamatojoties uz pagātnes pieredzi un citiem faktoriem, tajā skaitā uz nākotnes notikumu prognozēm. </w:t>
      </w:r>
    </w:p>
    <w:p w:rsidR="002062D9" w:rsidRPr="002062D9" w:rsidP="002062D9" w14:paraId="430AE10E" w14:textId="23B5B05D">
      <w:pPr>
        <w:keepLines/>
        <w:spacing w:after="0"/>
        <w:ind w:firstLine="720"/>
        <w:jc w:val="both"/>
        <w:rPr>
          <w:rFonts w:ascii="Arial Narrow" w:eastAsia="Arial Narrow" w:hAnsi="Arial Narrow" w:cs="Arial Narrow"/>
          <w:sz w:val="16"/>
          <w:szCs w:val="16"/>
          <w:lang w:val="lv-LV"/>
        </w:rPr>
      </w:pPr>
      <w:r w:rsidRPr="002062D9">
        <w:rPr>
          <w:rFonts w:ascii="Arial Narrow" w:eastAsia="Arial Narrow" w:hAnsi="Arial Narrow" w:cs="Arial Narrow"/>
          <w:sz w:val="16"/>
          <w:szCs w:val="16"/>
          <w:lang w:val="lv-LV"/>
        </w:rPr>
        <w:t>Grāmatvedības politikas un vadības spriedumi attiecībā uz atsevišķiem posteņ</w:t>
      </w:r>
      <w:r w:rsidRPr="002062D9">
        <w:rPr>
          <w:rFonts w:ascii="Arial Narrow" w:eastAsia="Arial Narrow" w:hAnsi="Arial Narrow" w:cs="Arial Narrow"/>
          <w:sz w:val="16"/>
          <w:szCs w:val="16"/>
          <w:lang w:val="lv-LV"/>
        </w:rPr>
        <w:t xml:space="preserve">iem un jautājumiem to būtiskuma dēļ var īpaši ietekmēt Koncerna rezultātus un finansiālo stāvokli. Nākotnes notikumi var ietekmēt pieņēmumus, pamatojoties uz kuriem veiktas attiecīgās aplēses. Jebkāda aplēšu izmaiņu ietekme tiek atspoguļota konsolidētajos </w:t>
      </w:r>
      <w:r w:rsidRPr="002062D9">
        <w:rPr>
          <w:rFonts w:ascii="Arial Narrow" w:eastAsia="Arial Narrow" w:hAnsi="Arial Narrow" w:cs="Arial Narrow"/>
          <w:sz w:val="16"/>
          <w:szCs w:val="16"/>
          <w:lang w:val="lv-LV"/>
        </w:rPr>
        <w:t>finanšu pārskatos to noteikšanas brīdī. Skatīt 3. piezīmi.</w:t>
      </w:r>
    </w:p>
    <w:p w:rsidR="002062D9" w:rsidRPr="002062D9" w:rsidP="002062D9" w14:paraId="1368A164" w14:textId="77777777">
      <w:pPr>
        <w:keepLines/>
        <w:spacing w:after="0"/>
        <w:ind w:firstLine="720"/>
        <w:jc w:val="both"/>
        <w:rPr>
          <w:rFonts w:ascii="Arial Narrow" w:eastAsia="Arial Narrow" w:hAnsi="Arial Narrow" w:cs="Arial Narrow"/>
          <w:sz w:val="16"/>
          <w:szCs w:val="16"/>
          <w:lang w:val="lv-LV"/>
        </w:rPr>
      </w:pPr>
      <w:r w:rsidRPr="002062D9">
        <w:rPr>
          <w:rFonts w:ascii="Arial Narrow" w:eastAsia="Arial Narrow" w:hAnsi="Arial Narrow" w:cs="Arial Narrow"/>
          <w:sz w:val="16"/>
          <w:szCs w:val="16"/>
          <w:lang w:val="lv-LV"/>
        </w:rPr>
        <w:t>Konsolidētie finanšu pārskati ir sagatavoti saskaņā ar sākotnējās vērtības uzskaites principu, izņemot to, ka finanšu instrumenti ir novērtēti patiesajā vērtībā.</w:t>
      </w:r>
    </w:p>
    <w:p w:rsidR="002062D9" w:rsidRPr="002062D9" w:rsidP="002062D9" w14:paraId="300441DC" w14:textId="77777777">
      <w:pPr>
        <w:keepLines/>
        <w:spacing w:after="0"/>
        <w:ind w:firstLine="720"/>
        <w:jc w:val="both"/>
        <w:rPr>
          <w:rFonts w:ascii="Arial Narrow" w:eastAsia="Arial Narrow" w:hAnsi="Arial Narrow" w:cs="Arial Narrow"/>
          <w:sz w:val="16"/>
          <w:szCs w:val="16"/>
          <w:lang w:val="lv-LV"/>
        </w:rPr>
      </w:pPr>
      <w:r w:rsidRPr="002062D9">
        <w:rPr>
          <w:rFonts w:ascii="Arial Narrow" w:eastAsia="Arial Narrow" w:hAnsi="Arial Narrow" w:cs="Arial Narrow"/>
          <w:sz w:val="16"/>
          <w:szCs w:val="16"/>
          <w:lang w:val="lv-LV"/>
        </w:rPr>
        <w:t>No konsolidācijas ir izslēgti darīj</w:t>
      </w:r>
      <w:r w:rsidRPr="002062D9">
        <w:rPr>
          <w:rFonts w:ascii="Arial Narrow" w:eastAsia="Arial Narrow" w:hAnsi="Arial Narrow" w:cs="Arial Narrow"/>
          <w:sz w:val="16"/>
          <w:szCs w:val="16"/>
          <w:lang w:val="lv-LV"/>
        </w:rPr>
        <w:t>umi Koncerna sabiedrību starpā, šādu darījumu atlikumi un nerealizētā peļņa. Arī nerealizētie zaudējumi ir izslēgti. Ja  nepieciešams, ir veiktas korekcijas meitas sabiedrību uzrādītajos finanšu rezultātos, lai tie atbilstu Koncerna uzskaites politikai.</w:t>
      </w:r>
    </w:p>
    <w:p w:rsidR="001F43EB" w:rsidP="002062D9" w14:paraId="7292AE5C" w14:textId="2EA6AEEE">
      <w:pPr>
        <w:keepLines/>
        <w:spacing w:after="0"/>
        <w:ind w:firstLine="720"/>
        <w:jc w:val="both"/>
        <w:rPr>
          <w:rFonts w:ascii="Arial Narrow" w:eastAsia="Arial Narrow" w:hAnsi="Arial Narrow" w:cs="Arial Narrow"/>
          <w:sz w:val="16"/>
          <w:szCs w:val="16"/>
          <w:lang w:val="lv-LV"/>
        </w:rPr>
      </w:pPr>
      <w:r w:rsidRPr="002062D9">
        <w:rPr>
          <w:rFonts w:ascii="Arial Narrow" w:eastAsia="Arial Narrow" w:hAnsi="Arial Narrow" w:cs="Arial Narrow"/>
          <w:sz w:val="16"/>
          <w:szCs w:val="16"/>
          <w:lang w:val="lv-LV"/>
        </w:rPr>
        <w:t>Ko</w:t>
      </w:r>
      <w:r w:rsidRPr="002062D9">
        <w:rPr>
          <w:rFonts w:ascii="Arial Narrow" w:eastAsia="Arial Narrow" w:hAnsi="Arial Narrow" w:cs="Arial Narrow"/>
          <w:sz w:val="16"/>
          <w:szCs w:val="16"/>
          <w:lang w:val="lv-LV"/>
        </w:rPr>
        <w:t>ncerna uzrādīšanas un funkcionālā valūta ir eiro (EUR). Konsolidētie finanšu pārskati ir sagatavoti par periodu no 01.01.2021 līdz 31.12.2021. Grāmatvedības politikas un metodes ir saskaņā ar iepriekšējos periodos pielietotajām, izņemot kā norādīts zemāk.</w:t>
      </w:r>
    </w:p>
    <w:p w:rsidR="00AE4C1C" w:rsidP="002062D9" w14:paraId="4B91A23F" w14:textId="7BCB991D">
      <w:pPr>
        <w:keepLines/>
        <w:spacing w:after="0"/>
        <w:ind w:firstLine="720"/>
        <w:jc w:val="both"/>
        <w:rPr>
          <w:rFonts w:ascii="Arial Narrow" w:eastAsia="Arial Narrow" w:hAnsi="Arial Narrow" w:cs="Arial Narrow"/>
          <w:sz w:val="16"/>
          <w:szCs w:val="16"/>
          <w:lang w:val="lv-LV"/>
        </w:rPr>
      </w:pPr>
      <w:r>
        <w:rPr>
          <w:rFonts w:ascii="Arial Narrow" w:eastAsia="Arial Narrow" w:hAnsi="Arial Narrow" w:cs="Arial Narrow"/>
          <w:sz w:val="16"/>
          <w:szCs w:val="16"/>
          <w:lang w:val="lv-LV"/>
        </w:rPr>
        <w:t xml:space="preserve">Vadība neizmanto </w:t>
      </w:r>
      <w:r>
        <w:rPr>
          <w:rFonts w:ascii="Arial Narrow" w:eastAsia="Arial Narrow" w:hAnsi="Arial Narrow" w:cs="Arial Narrow"/>
          <w:sz w:val="16"/>
          <w:szCs w:val="16"/>
          <w:lang w:val="lv-LV"/>
        </w:rPr>
        <w:t>segmentālu</w:t>
      </w:r>
      <w:r>
        <w:rPr>
          <w:rFonts w:ascii="Arial Narrow" w:eastAsia="Arial Narrow" w:hAnsi="Arial Narrow" w:cs="Arial Narrow"/>
          <w:sz w:val="16"/>
          <w:szCs w:val="16"/>
          <w:lang w:val="lv-LV"/>
        </w:rPr>
        <w:t xml:space="preserve"> pieeju operatīvo lēmumu pieņemšanai. Visa Sabiedrības saimnieciskā darbība tiek veikta vienā ģeogrāfiskajā segmentā – Latvijā. Uzņēmums 2021. gadā attīstīja kredītu apkalpošanas biznesa virzienu, tomēr tiek uzskatīts, ka tas vēl nav pietiekami būtisks, lai uz pārskata perioda beigām to atsevišķi atspoguļotu atsevišķajos finanšu pārskatos</w:t>
      </w:r>
    </w:p>
    <w:p w:rsidR="002062D9" w:rsidRPr="00591FE3" w:rsidP="002062D9" w14:paraId="19102B91" w14:textId="77777777">
      <w:pPr>
        <w:keepLines/>
        <w:spacing w:after="0"/>
        <w:jc w:val="both"/>
        <w:rPr>
          <w:rFonts w:ascii="Arial Narrow" w:eastAsia="Arial Narrow" w:hAnsi="Arial Narrow" w:cs="Arial Narrow"/>
          <w:sz w:val="16"/>
          <w:szCs w:val="16"/>
          <w:lang w:val="lv-LV"/>
        </w:rPr>
      </w:pPr>
    </w:p>
    <w:p w:rsidR="001F43EB" w:rsidRPr="00591FE3" w:rsidP="00B0139C" w14:paraId="0037F0F1" w14:textId="5D3B7DCA">
      <w:pPr>
        <w:keepLines/>
        <w:spacing w:after="0"/>
        <w:jc w:val="both"/>
        <w:rPr>
          <w:rFonts w:ascii="Arial Narrow" w:eastAsia="Arial Narrow" w:hAnsi="Arial Narrow" w:cs="Arial Narrow"/>
          <w:b/>
          <w:bCs/>
          <w:i/>
          <w:iCs/>
          <w:sz w:val="16"/>
          <w:szCs w:val="16"/>
          <w:lang w:val="lv-LV"/>
        </w:rPr>
      </w:pPr>
      <w:r w:rsidRPr="00591FE3">
        <w:rPr>
          <w:rFonts w:ascii="Arial Narrow" w:eastAsia="Arial Narrow" w:hAnsi="Arial Narrow" w:cs="Arial Narrow"/>
          <w:b/>
          <w:bCs/>
          <w:i/>
          <w:iCs/>
          <w:sz w:val="16"/>
          <w:szCs w:val="16"/>
          <w:lang w:val="lv-LV"/>
        </w:rPr>
        <w:t>Darbības turpināšana</w:t>
      </w:r>
    </w:p>
    <w:p w:rsidR="00A10D55" w:rsidRPr="00591FE3" w:rsidP="00B0139C" w14:paraId="4E55994E" w14:textId="77777777">
      <w:pPr>
        <w:keepLines/>
        <w:spacing w:after="0"/>
        <w:jc w:val="both"/>
        <w:rPr>
          <w:rFonts w:ascii="Arial Narrow" w:eastAsia="Arial Narrow" w:hAnsi="Arial Narrow" w:cs="Arial Narrow"/>
          <w:b/>
          <w:bCs/>
          <w:i/>
          <w:iCs/>
          <w:sz w:val="16"/>
          <w:szCs w:val="16"/>
          <w:lang w:val="lv-LV"/>
        </w:rPr>
      </w:pPr>
    </w:p>
    <w:p w:rsidR="004665DC" w:rsidRPr="004665DC" w:rsidP="004665DC" w14:paraId="214EBF12" w14:textId="77777777">
      <w:pPr>
        <w:keepLines/>
        <w:spacing w:after="0"/>
        <w:ind w:firstLine="720"/>
        <w:jc w:val="both"/>
        <w:rPr>
          <w:rFonts w:ascii="Arial Narrow" w:eastAsia="Arial Narrow" w:hAnsi="Arial Narrow" w:cs="Arial Narrow"/>
          <w:sz w:val="16"/>
          <w:szCs w:val="16"/>
          <w:lang w:val="lv-LV"/>
        </w:rPr>
      </w:pPr>
      <w:r w:rsidRPr="004665DC">
        <w:rPr>
          <w:rFonts w:ascii="Arial Narrow" w:eastAsia="Arial Narrow" w:hAnsi="Arial Narrow" w:cs="Arial Narrow"/>
          <w:sz w:val="16"/>
          <w:szCs w:val="16"/>
          <w:lang w:val="lv-LV"/>
        </w:rPr>
        <w:t>Šis konsolidētais finanšu pārskats ir sagatavots, balstoties uz darbības turpināšanas principu. Darbības turpināšanas pieņēmumi ir aprakstīti 3. piezīmē “Darbības turpināšana”.</w:t>
      </w:r>
    </w:p>
    <w:p w:rsidR="004665DC" w:rsidRPr="004665DC" w:rsidP="004665DC" w14:paraId="6504CC29" w14:textId="77777777">
      <w:pPr>
        <w:keepLines/>
        <w:spacing w:after="0"/>
        <w:jc w:val="both"/>
        <w:rPr>
          <w:rFonts w:ascii="Arial Narrow" w:eastAsia="Arial Narrow" w:hAnsi="Arial Narrow" w:cs="Arial Narrow"/>
          <w:sz w:val="16"/>
          <w:szCs w:val="16"/>
          <w:lang w:val="lv-LV"/>
        </w:rPr>
      </w:pPr>
    </w:p>
    <w:p w:rsidR="001F43EB" w:rsidRPr="00591FE3" w:rsidP="004665DC" w14:paraId="2FB34A43" w14:textId="0235AF66">
      <w:pPr>
        <w:keepLines/>
        <w:spacing w:after="0"/>
        <w:jc w:val="both"/>
        <w:rPr>
          <w:rFonts w:ascii="Arial Narrow" w:eastAsia="Arial Narrow" w:hAnsi="Arial Narrow" w:cs="Arial Narrow"/>
          <w:sz w:val="14"/>
          <w:szCs w:val="14"/>
          <w:lang w:val="lv-LV"/>
        </w:rPr>
      </w:pPr>
      <w:r>
        <w:t xml:space="preserve"> </w:t>
      </w:r>
    </w:p>
    <w:p w:rsidR="00A5438E" w:rsidRPr="00D1358A" w:rsidP="008E47ED" w14:paraId="45A78FAD" w14:textId="5BEA1F73">
      <w:pPr>
        <w:keepLines/>
        <w:pageBreakBefore/>
        <w:spacing w:after="0"/>
        <w:jc w:val="both"/>
        <w:rPr>
          <w:rFonts w:ascii="Arial Narrow" w:eastAsia="Arial Narrow" w:hAnsi="Arial Narrow" w:cs="Arial Narrow"/>
          <w:b/>
          <w:bCs/>
          <w:i/>
          <w:iCs/>
          <w:sz w:val="16"/>
          <w:szCs w:val="16"/>
          <w:lang w:val="lv-LV"/>
        </w:rPr>
      </w:pPr>
      <w:bookmarkStart w:id="1146" w:name="RG_MARKER_6606"/>
      <w:r w:rsidRPr="00D1358A">
        <w:rPr>
          <w:rFonts w:ascii="Arial Narrow" w:eastAsia="Arial Narrow" w:hAnsi="Arial Narrow" w:cs="Arial Narrow"/>
          <w:b/>
          <w:bCs/>
          <w:i/>
          <w:iCs/>
          <w:sz w:val="16"/>
          <w:szCs w:val="16"/>
          <w:lang w:val="lv-LV"/>
        </w:rPr>
        <w:t>b</w:t>
      </w:r>
      <w:bookmarkEnd w:id="1146"/>
      <w:r w:rsidRPr="00D1358A" w:rsidR="00012490">
        <w:rPr>
          <w:rFonts w:ascii="Arial Narrow" w:eastAsia="Arial Narrow" w:hAnsi="Arial Narrow" w:cs="Arial Narrow"/>
          <w:b/>
          <w:bCs/>
          <w:i/>
          <w:iCs/>
          <w:sz w:val="16"/>
          <w:szCs w:val="16"/>
          <w:lang w:val="lv-LV"/>
        </w:rPr>
        <w:t>) Izmaiņas grāmatvedības politikā un informācijas sniegšanā</w:t>
      </w:r>
      <w:r w:rsidRPr="00D1358A" w:rsidR="00012490">
        <w:rPr>
          <w:rFonts w:ascii="Arial Narrow" w:eastAsia="Arial Narrow" w:hAnsi="Arial Narrow" w:cs="Arial Narrow"/>
          <w:b/>
          <w:bCs/>
          <w:i/>
          <w:iCs/>
          <w:sz w:val="16"/>
          <w:szCs w:val="16"/>
          <w:lang w:val="lv-LV"/>
        </w:rPr>
        <w:tab/>
      </w:r>
      <w:r w:rsidRPr="00D1358A" w:rsidR="00012490">
        <w:rPr>
          <w:rFonts w:ascii="Arial Narrow" w:eastAsia="Arial Narrow" w:hAnsi="Arial Narrow" w:cs="Arial Narrow"/>
          <w:b/>
          <w:bCs/>
          <w:i/>
          <w:iCs/>
          <w:sz w:val="16"/>
          <w:szCs w:val="16"/>
          <w:lang w:val="lv-LV"/>
        </w:rPr>
        <w:tab/>
      </w:r>
      <w:r w:rsidRPr="00D1358A" w:rsidR="00012490">
        <w:rPr>
          <w:rFonts w:ascii="Arial Narrow" w:eastAsia="Arial Narrow" w:hAnsi="Arial Narrow" w:cs="Arial Narrow"/>
          <w:b/>
          <w:bCs/>
          <w:i/>
          <w:iCs/>
          <w:sz w:val="16"/>
          <w:szCs w:val="16"/>
          <w:lang w:val="lv-LV"/>
        </w:rPr>
        <w:tab/>
      </w:r>
      <w:r w:rsidRPr="00D1358A" w:rsidR="00012490">
        <w:rPr>
          <w:rFonts w:ascii="Arial Narrow" w:eastAsia="Arial Narrow" w:hAnsi="Arial Narrow" w:cs="Arial Narrow"/>
          <w:b/>
          <w:bCs/>
          <w:i/>
          <w:iCs/>
          <w:sz w:val="16"/>
          <w:szCs w:val="16"/>
          <w:lang w:val="lv-LV"/>
        </w:rPr>
        <w:tab/>
      </w:r>
      <w:r w:rsidRPr="00D1358A" w:rsidR="00012490">
        <w:rPr>
          <w:rFonts w:ascii="Arial Narrow" w:eastAsia="Arial Narrow" w:hAnsi="Arial Narrow" w:cs="Arial Narrow"/>
          <w:b/>
          <w:bCs/>
          <w:i/>
          <w:iCs/>
          <w:sz w:val="16"/>
          <w:szCs w:val="16"/>
          <w:lang w:val="lv-LV"/>
        </w:rPr>
        <w:tab/>
      </w:r>
      <w:r w:rsidRPr="00D1358A" w:rsidR="00012490">
        <w:rPr>
          <w:rFonts w:ascii="Arial Narrow" w:eastAsia="Arial Narrow" w:hAnsi="Arial Narrow" w:cs="Arial Narrow"/>
          <w:b/>
          <w:bCs/>
          <w:i/>
          <w:iCs/>
          <w:sz w:val="16"/>
          <w:szCs w:val="16"/>
          <w:lang w:val="lv-LV"/>
        </w:rPr>
        <w:tab/>
      </w:r>
      <w:r w:rsidRPr="00D1358A" w:rsidR="00012490">
        <w:rPr>
          <w:rFonts w:ascii="Arial Narrow" w:eastAsia="Arial Narrow" w:hAnsi="Arial Narrow" w:cs="Arial Narrow"/>
          <w:b/>
          <w:bCs/>
          <w:i/>
          <w:iCs/>
          <w:sz w:val="16"/>
          <w:szCs w:val="16"/>
          <w:lang w:val="lv-LV"/>
        </w:rPr>
        <w:tab/>
      </w:r>
      <w:r w:rsidRPr="00D1358A" w:rsidR="00012490">
        <w:rPr>
          <w:rFonts w:ascii="Arial Narrow" w:eastAsia="Arial Narrow" w:hAnsi="Arial Narrow" w:cs="Arial Narrow"/>
          <w:b/>
          <w:bCs/>
          <w:i/>
          <w:iCs/>
          <w:sz w:val="16"/>
          <w:szCs w:val="16"/>
          <w:lang w:val="lv-LV"/>
        </w:rPr>
        <w:tab/>
      </w:r>
    </w:p>
    <w:p w:rsidR="00A5438E" w:rsidRPr="00D1358A" w:rsidP="008E47ED" w14:paraId="483FB24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0562C8" w:rsidRPr="00D1358A" w:rsidP="008E47ED" w14:paraId="7896912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Pieņemtās grāmatvedības politikas atbilst iepriekšējā finanšu gada grāmatvedības politikām, izņemot turpmāk minētos grozītos SFPS, kurus Koncerns ir pieņēmis no 2020. gada 1. janvāra.</w:t>
      </w:r>
    </w:p>
    <w:p w:rsidR="00A5438E" w:rsidRPr="00D1358A" w:rsidP="008E47ED" w14:paraId="0E0A57F8" w14:textId="44407A09">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0562C8" w:rsidRPr="00D1358A" w:rsidP="008E47ED" w14:paraId="3C4A67C0"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SFPS Nr.16: “Noma”</w:t>
      </w:r>
      <w:r w:rsidRPr="00D1358A">
        <w:rPr>
          <w:rFonts w:ascii="Arial Narrow" w:eastAsia="Arial Narrow" w:hAnsi="Arial Narrow" w:cs="Arial Narrow"/>
          <w:b/>
          <w:bCs/>
          <w:i/>
          <w:iCs/>
          <w:sz w:val="16"/>
          <w:szCs w:val="16"/>
          <w:lang w:val="lv-LV"/>
        </w:rPr>
        <w:tab/>
      </w:r>
    </w:p>
    <w:p w:rsidR="00A5438E" w:rsidRPr="00D1358A" w:rsidP="008E47ED" w14:paraId="3DDD6DEE" w14:textId="4D5B2294">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0562C8" w:rsidRPr="00D1358A" w:rsidP="000562C8" w14:paraId="139A2F1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Koncerns ir priekšlaicīgi pieņēmi</w:t>
      </w:r>
      <w:r w:rsidRPr="00D1358A">
        <w:rPr>
          <w:rFonts w:ascii="Arial Narrow" w:eastAsia="Arial Narrow" w:hAnsi="Arial Narrow" w:cs="Arial Narrow"/>
          <w:sz w:val="16"/>
          <w:szCs w:val="16"/>
          <w:lang w:val="lv-LV"/>
        </w:rPr>
        <w:t>s COVID-19 — saistītās īres koncesijas — grozījumus SFPS 16, kas izdots 2020. gada 28. maijā. Grozījumi ievieš neobligātu praktisku paņēmienu nomām, kurās Koncerns ir nomnieks, t.i., nomas līgumiem, kuriem Koncerns piemēro praktisko lietderīgi, Koncernam n</w:t>
      </w:r>
      <w:r w:rsidRPr="00D1358A">
        <w:rPr>
          <w:rFonts w:ascii="Arial Narrow" w:eastAsia="Arial Narrow" w:hAnsi="Arial Narrow" w:cs="Arial Narrow"/>
          <w:sz w:val="16"/>
          <w:szCs w:val="16"/>
          <w:lang w:val="lv-LV"/>
        </w:rPr>
        <w:t>av jāizvērtē, vai attiecināmās īres atlaides, kas ir tiešas COVID-19 koronavīrusa pandēmijas sekas, ir nomas izmaiņas. Koncerns ir piemērojis grozījumus retrospektīvi, piemērošanas ietekme nav būtiska.</w:t>
      </w:r>
    </w:p>
    <w:p w:rsidR="000562C8" w:rsidRPr="00D1358A" w:rsidP="000562C8" w14:paraId="427D899C" w14:textId="77777777">
      <w:pPr>
        <w:keepLines/>
        <w:spacing w:after="0"/>
        <w:jc w:val="both"/>
        <w:rPr>
          <w:rFonts w:ascii="Arial Narrow" w:eastAsia="Arial Narrow" w:hAnsi="Arial Narrow" w:cs="Arial Narrow"/>
          <w:sz w:val="16"/>
          <w:szCs w:val="16"/>
          <w:lang w:val="lv-LV"/>
        </w:rPr>
      </w:pPr>
    </w:p>
    <w:p w:rsidR="00A5438E" w:rsidRPr="00D1358A" w:rsidP="000562C8" w14:paraId="6213E883" w14:textId="0D7AFE61">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Ietekme ir atspoguļota 14. un 18. piezīmē.</w:t>
      </w:r>
      <w:r w:rsidRPr="00D1358A" w:rsidR="00012490">
        <w:rPr>
          <w:rFonts w:ascii="Arial Narrow" w:eastAsia="Arial Narrow" w:hAnsi="Arial Narrow" w:cs="Arial Narrow"/>
          <w:sz w:val="16"/>
          <w:szCs w:val="16"/>
          <w:lang w:val="lv-LV"/>
        </w:rPr>
        <w:tab/>
      </w:r>
      <w:r w:rsidRPr="00D1358A" w:rsidR="00012490">
        <w:rPr>
          <w:rFonts w:ascii="Arial Narrow" w:eastAsia="Arial Narrow" w:hAnsi="Arial Narrow" w:cs="Arial Narrow"/>
          <w:sz w:val="16"/>
          <w:szCs w:val="16"/>
          <w:lang w:val="lv-LV"/>
        </w:rPr>
        <w:tab/>
      </w:r>
      <w:r w:rsidRPr="00D1358A" w:rsidR="00012490">
        <w:rPr>
          <w:rFonts w:ascii="Arial Narrow" w:eastAsia="Arial Narrow" w:hAnsi="Arial Narrow" w:cs="Arial Narrow"/>
          <w:sz w:val="16"/>
          <w:szCs w:val="16"/>
          <w:lang w:val="lv-LV"/>
        </w:rPr>
        <w:tab/>
      </w:r>
      <w:r w:rsidRPr="00D1358A" w:rsidR="00012490">
        <w:rPr>
          <w:rFonts w:ascii="Arial Narrow" w:eastAsia="Arial Narrow" w:hAnsi="Arial Narrow" w:cs="Arial Narrow"/>
          <w:sz w:val="16"/>
          <w:szCs w:val="16"/>
          <w:lang w:val="lv-LV"/>
        </w:rPr>
        <w:tab/>
      </w:r>
      <w:r w:rsidRPr="00D1358A" w:rsidR="00012490">
        <w:rPr>
          <w:rFonts w:ascii="Arial Narrow" w:eastAsia="Arial Narrow" w:hAnsi="Arial Narrow" w:cs="Arial Narrow"/>
          <w:sz w:val="16"/>
          <w:szCs w:val="16"/>
          <w:lang w:val="lv-LV"/>
        </w:rPr>
        <w:tab/>
      </w:r>
      <w:r w:rsidRPr="00D1358A" w:rsidR="00012490">
        <w:rPr>
          <w:rFonts w:ascii="Arial Narrow" w:eastAsia="Arial Narrow" w:hAnsi="Arial Narrow" w:cs="Arial Narrow"/>
          <w:sz w:val="16"/>
          <w:szCs w:val="16"/>
          <w:lang w:val="lv-LV"/>
        </w:rPr>
        <w:tab/>
      </w:r>
      <w:r w:rsidRPr="00D1358A" w:rsidR="00012490">
        <w:rPr>
          <w:rFonts w:ascii="Arial Narrow" w:eastAsia="Arial Narrow" w:hAnsi="Arial Narrow" w:cs="Arial Narrow"/>
          <w:sz w:val="16"/>
          <w:szCs w:val="16"/>
          <w:lang w:val="lv-LV"/>
        </w:rPr>
        <w:tab/>
      </w:r>
      <w:r w:rsidRPr="00D1358A" w:rsidR="00012490">
        <w:rPr>
          <w:rFonts w:ascii="Arial Narrow" w:eastAsia="Arial Narrow" w:hAnsi="Arial Narrow" w:cs="Arial Narrow"/>
          <w:sz w:val="16"/>
          <w:szCs w:val="16"/>
          <w:lang w:val="lv-LV"/>
        </w:rPr>
        <w:tab/>
      </w:r>
    </w:p>
    <w:p w:rsidR="00A5438E" w:rsidRPr="00D1358A" w:rsidP="008E47ED" w14:paraId="30CBDF7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8483445" w14:textId="77777777">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Jaunu un papildinātu standartu un interpretāciju piemērošana</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012490" w:rsidRPr="00D1358A" w:rsidP="00012490" w14:paraId="3EC43F5F" w14:textId="206639EC">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Vairāki jauni standarti (vai grozījumi) stājas spēkā no 2021. gada 1. janvāra, taču tiem nav būtiskas ietekmes uz </w:t>
      </w:r>
      <w:r w:rsidRPr="00D1358A" w:rsidR="00CF767E">
        <w:rPr>
          <w:rFonts w:ascii="Arial Narrow" w:eastAsia="Arial Narrow" w:hAnsi="Arial Narrow" w:cs="Arial Narrow"/>
          <w:sz w:val="16"/>
          <w:szCs w:val="16"/>
          <w:lang w:val="lv-LV"/>
        </w:rPr>
        <w:t>Koncerna</w:t>
      </w:r>
      <w:r w:rsidRPr="00D1358A">
        <w:rPr>
          <w:rFonts w:ascii="Arial Narrow" w:eastAsia="Arial Narrow" w:hAnsi="Arial Narrow" w:cs="Arial Narrow"/>
          <w:sz w:val="16"/>
          <w:szCs w:val="16"/>
          <w:lang w:val="lv-LV"/>
        </w:rPr>
        <w:t xml:space="preserve"> </w:t>
      </w:r>
      <w:r w:rsidRPr="00D1358A" w:rsidR="00F5590A">
        <w:rPr>
          <w:rFonts w:ascii="Arial Narrow" w:eastAsia="Arial Narrow" w:hAnsi="Arial Narrow" w:cs="Arial Narrow"/>
          <w:sz w:val="16"/>
          <w:szCs w:val="16"/>
          <w:lang w:val="lv-LV"/>
        </w:rPr>
        <w:t>konsolidēto</w:t>
      </w:r>
      <w:r w:rsidRPr="00D1358A">
        <w:rPr>
          <w:rFonts w:ascii="Arial Narrow" w:eastAsia="Arial Narrow" w:hAnsi="Arial Narrow" w:cs="Arial Narrow"/>
          <w:sz w:val="16"/>
          <w:szCs w:val="16"/>
          <w:lang w:val="lv-LV"/>
        </w:rPr>
        <w:t xml:space="preserve"> finanšu</w:t>
      </w:r>
      <w:r w:rsidRPr="00D1358A" w:rsidR="00CF767E">
        <w:rPr>
          <w:rFonts w:ascii="Arial Narrow" w:eastAsia="Arial Narrow" w:hAnsi="Arial Narrow" w:cs="Arial Narrow"/>
          <w:sz w:val="16"/>
          <w:szCs w:val="16"/>
          <w:lang w:val="lv-LV"/>
        </w:rPr>
        <w:t xml:space="preserve"> pārskatu.</w:t>
      </w:r>
    </w:p>
    <w:p w:rsidR="00012490" w:rsidRPr="00D1358A" w:rsidP="00012490" w14:paraId="482E230F" w14:textId="77777777">
      <w:pPr>
        <w:keepLines/>
        <w:spacing w:after="0"/>
        <w:jc w:val="both"/>
        <w:rPr>
          <w:rFonts w:ascii="Arial Narrow" w:eastAsia="Arial Narrow" w:hAnsi="Arial Narrow" w:cs="Arial Narrow"/>
          <w:sz w:val="16"/>
          <w:szCs w:val="16"/>
          <w:lang w:val="lv-LV"/>
        </w:rPr>
      </w:pPr>
    </w:p>
    <w:p w:rsidR="00012490" w:rsidRPr="00D1358A" w:rsidP="00012490" w14:paraId="09BFF6A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ar COVID-19 saistītās īres koncesijas (grozījumi SFPS 16);</w:t>
      </w:r>
    </w:p>
    <w:p w:rsidR="00A5438E" w:rsidRPr="00D1358A" w:rsidP="00012490" w14:paraId="7EF937C0" w14:textId="57046780">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Procentu likmju etalona reforma – 2. fā</w:t>
      </w:r>
      <w:r w:rsidRPr="00D1358A">
        <w:rPr>
          <w:rFonts w:ascii="Arial Narrow" w:eastAsia="Arial Narrow" w:hAnsi="Arial Narrow" w:cs="Arial Narrow"/>
          <w:sz w:val="16"/>
          <w:szCs w:val="16"/>
          <w:lang w:val="lv-LV"/>
        </w:rPr>
        <w:t>ze (grozījumi 9. SFPS, 39. SGS, 7. SFPS, 4. SFPS un 16. SFPS).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798B90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8FF4950" w14:textId="17DB324A">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c) Standarti, kas ir izdoti, bet vēl nav stājušies spēkā un nav piemēroti pirms spēkā stāšanās</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1B5097" w:rsidRPr="00D1358A" w:rsidP="008E47ED" w14:paraId="08C1FDE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5215C52" w14:textId="4F24EF7D">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Nav paredzams, ka zemāk uzskaitītie jaunie un papildinātie </w:t>
      </w:r>
      <w:r w:rsidRPr="00D1358A">
        <w:rPr>
          <w:rFonts w:ascii="Arial Narrow" w:eastAsia="Arial Narrow" w:hAnsi="Arial Narrow" w:cs="Arial Narrow"/>
          <w:sz w:val="16"/>
          <w:szCs w:val="16"/>
          <w:lang w:val="lv-LV"/>
        </w:rPr>
        <w:t>standarti būtiski ietekmēs Koncerna finanšu pārskatus.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BDFBD43"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1B5097" w14:paraId="716C7666" w14:textId="558A9D6B">
      <w:pPr>
        <w:keepLines/>
        <w:spacing w:after="0"/>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 </w:t>
      </w:r>
      <w:r w:rsidRPr="00D1358A" w:rsidR="0019308E">
        <w:rPr>
          <w:rFonts w:ascii="Arial Narrow" w:eastAsia="Arial Narrow" w:hAnsi="Arial Narrow" w:cs="Arial Narrow"/>
          <w:sz w:val="16"/>
          <w:szCs w:val="16"/>
          <w:lang w:val="lv-LV"/>
        </w:rPr>
        <w:t xml:space="preserve"> Pamatlīdzekļi: Peļņa pirms paredzētās lietošanas (papildinājumi SGS Nr.16).</w:t>
      </w:r>
    </w:p>
    <w:p w:rsidR="00A5438E" w:rsidRPr="00D1358A" w:rsidP="001B5097" w14:paraId="690716B2" w14:textId="0236335B">
      <w:pPr>
        <w:keepLines/>
        <w:spacing w:after="0"/>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  </w:t>
      </w:r>
      <w:r w:rsidRPr="00D1358A" w:rsidR="0019308E">
        <w:rPr>
          <w:rFonts w:ascii="Arial Narrow" w:eastAsia="Arial Narrow" w:hAnsi="Arial Narrow" w:cs="Arial Narrow"/>
          <w:sz w:val="16"/>
          <w:szCs w:val="16"/>
          <w:lang w:val="lv-LV"/>
        </w:rPr>
        <w:t>Atsauce uz konceptuālo struktūru (papildinājumi SFPS Nr.3).</w:t>
      </w:r>
    </w:p>
    <w:p w:rsidR="00A5438E" w:rsidRPr="00D1358A" w:rsidP="001B5097" w14:paraId="4FFE9D61" w14:textId="06F9A56B">
      <w:pPr>
        <w:keepLines/>
        <w:spacing w:after="0"/>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w:t>
      </w:r>
      <w:r w:rsidRPr="00D1358A" w:rsidR="0019308E">
        <w:rPr>
          <w:rFonts w:ascii="Arial Narrow" w:eastAsia="Arial Narrow" w:hAnsi="Arial Narrow" w:cs="Arial Narrow"/>
          <w:sz w:val="16"/>
          <w:szCs w:val="16"/>
          <w:lang w:val="lv-LV"/>
        </w:rPr>
        <w:t xml:space="preserve"> Līguma izpildes izmaksas (papildinājumi SGS Nr. 37).</w:t>
      </w:r>
    </w:p>
    <w:p w:rsidR="00A5438E" w:rsidRPr="00D1358A" w:rsidP="001B5097" w14:paraId="75E86F99" w14:textId="36620467">
      <w:pPr>
        <w:keepLines/>
        <w:spacing w:after="0"/>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w:t>
      </w:r>
      <w:r w:rsidRPr="00D1358A" w:rsidR="0019308E">
        <w:rPr>
          <w:rFonts w:ascii="Arial Narrow" w:eastAsia="Arial Narrow" w:hAnsi="Arial Narrow" w:cs="Arial Narrow"/>
          <w:sz w:val="16"/>
          <w:szCs w:val="16"/>
          <w:lang w:val="lv-LV"/>
        </w:rPr>
        <w:t xml:space="preserve"> Saistību klasifikācija īstermiņa vai ilgtermiņa saistībās (papildinājumi SGS Nr.1).</w:t>
      </w:r>
    </w:p>
    <w:p w:rsidR="00A5438E" w:rsidRPr="00D1358A" w:rsidP="001B5097" w14:paraId="710E26DB" w14:textId="4327B9D7">
      <w:pPr>
        <w:keepLines/>
        <w:spacing w:after="0"/>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w:t>
      </w:r>
      <w:r w:rsidRPr="00D1358A" w:rsidR="0019308E">
        <w:rPr>
          <w:rFonts w:ascii="Arial Narrow" w:eastAsia="Arial Narrow" w:hAnsi="Arial Narrow" w:cs="Arial Narrow"/>
          <w:sz w:val="16"/>
          <w:szCs w:val="16"/>
          <w:lang w:val="lv-LV"/>
        </w:rPr>
        <w:t xml:space="preserve"> Atsauces procentu likmes reforma – 2. fāze (papildinājumi SFPS Nr.9, SGS Nr.39, SFPS Nr.7, SFPS Nr.4 un SFPS Nr.16)</w:t>
      </w:r>
    </w:p>
    <w:p w:rsidR="00A5438E" w:rsidRPr="00D1358A" w:rsidP="001B5097" w14:paraId="46F59D83" w14:textId="7080DB30">
      <w:pPr>
        <w:keepLines/>
        <w:spacing w:after="0"/>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 </w:t>
      </w:r>
      <w:r w:rsidRPr="00D1358A" w:rsidR="0019308E">
        <w:rPr>
          <w:rFonts w:ascii="Arial Narrow" w:eastAsia="Arial Narrow" w:hAnsi="Arial Narrow" w:cs="Arial Narrow"/>
          <w:sz w:val="16"/>
          <w:szCs w:val="16"/>
          <w:lang w:val="lv-LV"/>
        </w:rPr>
        <w:t>SFPS Nr.17 “Apdrošināšanas līgumi” un papildinājumi SFPS Nr. 17 “Apdrošināšanas līgumi”.</w:t>
      </w:r>
      <w:r w:rsidRPr="00D1358A" w:rsidR="0019308E">
        <w:rPr>
          <w:rFonts w:ascii="Arial Narrow" w:eastAsia="Arial Narrow" w:hAnsi="Arial Narrow" w:cs="Arial Narrow"/>
          <w:sz w:val="16"/>
          <w:szCs w:val="16"/>
          <w:lang w:val="lv-LV"/>
        </w:rPr>
        <w:tab/>
      </w:r>
      <w:r w:rsidRPr="00D1358A" w:rsidR="0019308E">
        <w:rPr>
          <w:rFonts w:ascii="Arial Narrow" w:eastAsia="Arial Narrow" w:hAnsi="Arial Narrow" w:cs="Arial Narrow"/>
          <w:sz w:val="16"/>
          <w:szCs w:val="16"/>
          <w:lang w:val="lv-LV"/>
        </w:rPr>
        <w:tab/>
      </w:r>
      <w:r w:rsidRPr="00D1358A" w:rsidR="0019308E">
        <w:rPr>
          <w:rFonts w:ascii="Arial Narrow" w:eastAsia="Arial Narrow" w:hAnsi="Arial Narrow" w:cs="Arial Narrow"/>
          <w:sz w:val="16"/>
          <w:szCs w:val="16"/>
          <w:lang w:val="lv-LV"/>
        </w:rPr>
        <w:tab/>
      </w:r>
      <w:r w:rsidRPr="00D1358A" w:rsidR="0019308E">
        <w:rPr>
          <w:rFonts w:ascii="Arial Narrow" w:eastAsia="Arial Narrow" w:hAnsi="Arial Narrow" w:cs="Arial Narrow"/>
          <w:sz w:val="16"/>
          <w:szCs w:val="16"/>
          <w:lang w:val="lv-LV"/>
        </w:rPr>
        <w:tab/>
      </w:r>
      <w:r w:rsidRPr="00D1358A" w:rsidR="0019308E">
        <w:rPr>
          <w:rFonts w:ascii="Arial Narrow" w:eastAsia="Arial Narrow" w:hAnsi="Arial Narrow" w:cs="Arial Narrow"/>
          <w:sz w:val="16"/>
          <w:szCs w:val="16"/>
          <w:lang w:val="lv-LV"/>
        </w:rPr>
        <w:tab/>
      </w:r>
    </w:p>
    <w:p w:rsidR="00A5438E" w:rsidRPr="00D1358A" w:rsidP="008E47ED" w14:paraId="1445F0A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A2E1A52" w14:textId="1A65B4F4">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 xml:space="preserve">d) Svarīgākās grāmatvedības uzskaites politikas  </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A5438E" w:rsidRPr="00D1358A" w:rsidP="008E47ED" w14:paraId="35B4ABF5" w14:textId="77777777">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A5438E" w:rsidRPr="00D1358A" w:rsidP="008E47ED" w14:paraId="6F35AC9E" w14:textId="20709A1B">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sz w:val="16"/>
          <w:szCs w:val="16"/>
          <w:lang w:val="lv-LV"/>
        </w:rPr>
        <w:t>Konsolidācijas pamatnostādnes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012490" w:rsidRPr="00D1358A" w:rsidP="00012490" w14:paraId="2B1FB0A4" w14:textId="77777777">
      <w:pPr>
        <w:keepLines/>
        <w:spacing w:after="0"/>
        <w:ind w:firstLine="72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Konsolidētais finanšu pārskats ietver AS “Mogo” (turpmāk tekstā – Mātes sabiedrība)</w:t>
      </w:r>
      <w:r w:rsidRPr="00D1358A">
        <w:rPr>
          <w:rFonts w:ascii="Arial Narrow" w:eastAsia="Arial Narrow" w:hAnsi="Arial Narrow" w:cs="Arial Narrow"/>
          <w:sz w:val="16"/>
          <w:szCs w:val="16"/>
          <w:lang w:val="lv-LV"/>
        </w:rPr>
        <w:t xml:space="preserve"> un tās meitas sabiedrības finanšu pārskatus par gadu, kas noslēdzās 2021. gada 31. decembrī. AS  “Renti” finanšu pārskati sagatavoti par to pašu pārskata periodu, par kuru sagatavots Mātes sabiedrības finanšu pārskats, un izmantojot tādas pašas grāmatvedī</w:t>
      </w:r>
      <w:r w:rsidRPr="00D1358A">
        <w:rPr>
          <w:rFonts w:ascii="Arial Narrow" w:eastAsia="Arial Narrow" w:hAnsi="Arial Narrow" w:cs="Arial Narrow"/>
          <w:sz w:val="16"/>
          <w:szCs w:val="16"/>
          <w:lang w:val="lv-LV"/>
        </w:rPr>
        <w:t>bas politikas.</w:t>
      </w:r>
    </w:p>
    <w:p w:rsidR="00012490" w:rsidRPr="00D1358A" w:rsidP="00012490" w14:paraId="79C83C39" w14:textId="77777777">
      <w:pPr>
        <w:keepLines/>
        <w:spacing w:after="0"/>
        <w:ind w:firstLine="72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Kontrole pastāv, ja Mātes sabiedrība ir pakļauta vai tai ir tiesības uz dažādiem guvumiem no tās investīcijām ieguldījuma saņēmējā, vai tai ir spēja ietekmēt ieguldījuma saņēmēja darbības rezultātus, īstenojot savu ietekmi pār ieguldījumu sa</w:t>
      </w:r>
      <w:r w:rsidRPr="00D1358A">
        <w:rPr>
          <w:rFonts w:ascii="Arial Narrow" w:eastAsia="Arial Narrow" w:hAnsi="Arial Narrow" w:cs="Arial Narrow"/>
          <w:sz w:val="16"/>
          <w:szCs w:val="16"/>
          <w:lang w:val="lv-LV"/>
        </w:rPr>
        <w:t>ņēmēju. Meitas sabiedrību konsolidācija sākas, kad Mātes sabiedrība iegūst kontroli pār to, un beidzas, kad Mātes sabiedrība zaudē  kontroli pār šo meitas sabiedrību.</w:t>
      </w:r>
    </w:p>
    <w:p w:rsidR="00306907" w:rsidP="009F1BA3" w14:paraId="505DF176" w14:textId="1D0ECB88">
      <w:pPr>
        <w:keepLines/>
        <w:spacing w:after="0"/>
        <w:ind w:firstLine="72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Mātes sabiedrības un tās meitas sabiedrību finanšu pārskati ir konsolidēti </w:t>
      </w:r>
      <w:r w:rsidRPr="00D1358A">
        <w:rPr>
          <w:rFonts w:ascii="Arial Narrow" w:eastAsia="Arial Narrow" w:hAnsi="Arial Narrow" w:cs="Arial Narrow"/>
          <w:sz w:val="16"/>
          <w:szCs w:val="16"/>
          <w:lang w:val="lv-LV"/>
        </w:rPr>
        <w:t>Koncerna finanšu pārskatā, apvienojot attiecīgos aktīvu un saistību, kā arī ieņēmumu un izmaksu posteņus. Konsolidācijas procesā ir pilnībā izslēgti visi Koncerna sabiedrību savstarpējie darījumi, atlikumi un nerealizētā peļņa un zaudējumi no Koncerna sabi</w:t>
      </w:r>
      <w:r w:rsidRPr="00D1358A">
        <w:rPr>
          <w:rFonts w:ascii="Arial Narrow" w:eastAsia="Arial Narrow" w:hAnsi="Arial Narrow" w:cs="Arial Narrow"/>
          <w:sz w:val="16"/>
          <w:szCs w:val="16"/>
          <w:lang w:val="lv-LV"/>
        </w:rPr>
        <w:t>edrību savstarpējiem darījumiem. Uz nekontrolējošo līdzdalību attiecināmais pašu kapitāls un neto ienākumi finanšu stāvokļa pārskatā un peļņas vai zaudējumu aprēķinā un pārējo apvienoto ienākumu pārskatā atspoguļoti atsevišķi</w:t>
      </w:r>
      <w:r w:rsidRPr="00D1358A" w:rsidR="009F1BA3">
        <w:rPr>
          <w:rFonts w:ascii="Arial Narrow" w:eastAsia="Arial Narrow" w:hAnsi="Arial Narrow" w:cs="Arial Narrow"/>
          <w:sz w:val="16"/>
          <w:szCs w:val="16"/>
          <w:lang w:val="lv-LV"/>
        </w:rPr>
        <w:t>.</w:t>
      </w:r>
    </w:p>
    <w:p w:rsidR="00BB2074" w:rsidRPr="00D1358A" w:rsidP="00BB2074" w14:paraId="14984962" w14:textId="7768BE29">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3143F2F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Meitas sabiedrības ī</w:t>
      </w:r>
      <w:r w:rsidRPr="00D1358A">
        <w:rPr>
          <w:rFonts w:ascii="Arial Narrow" w:eastAsia="Arial Narrow" w:hAnsi="Arial Narrow" w:cs="Arial Narrow"/>
          <w:sz w:val="16"/>
          <w:szCs w:val="16"/>
          <w:lang w:val="lv-LV"/>
        </w:rPr>
        <w:t>pašnieku maiņa, nemainoties kontrolei, tiek uzskaitīta kā pašu kapitāla darījums. Papildu līdzdalības iegāde meitas sabiedrībā bez izmaiņām kontrolē tiek uzskaitīta kā pašu kapitāla darījums saskaņā ar SFPS Nr.10. Jebkāda starpība starp samaksāto atlīdzību</w:t>
      </w:r>
      <w:r w:rsidRPr="00D1358A">
        <w:rPr>
          <w:rFonts w:ascii="Arial Narrow" w:eastAsia="Arial Narrow" w:hAnsi="Arial Narrow" w:cs="Arial Narrow"/>
          <w:sz w:val="16"/>
          <w:szCs w:val="16"/>
          <w:lang w:val="lv-LV"/>
        </w:rPr>
        <w:t xml:space="preserve"> un nekontrolējošās līdzdalības uzskaites vērtību, kas radusies tāda darījuma ietvaros, kurā nekontrolējošā līdzdalība tiek iegādāta vai pārdota, nezaudējot kontroli, tiek atzīta Mātes sabiedrības pašu kapitālā. Koncerns šo ietekmi atzīst iepriekšējo gadu </w:t>
      </w:r>
      <w:r w:rsidRPr="00D1358A">
        <w:rPr>
          <w:rFonts w:ascii="Arial Narrow" w:eastAsia="Arial Narrow" w:hAnsi="Arial Narrow" w:cs="Arial Narrow"/>
          <w:sz w:val="16"/>
          <w:szCs w:val="16"/>
          <w:lang w:val="lv-LV"/>
        </w:rPr>
        <w:t>nesadalītajā peļņā. Ja meitas sabiedrībai, uz kuru šāda nekontrolējošā līdzdalība attiecas, ir uzkrātas komponentes, kas atzītas citos ienākumos/ (zaudējumos), kas nav atspoguļoti peļņas vai zaudējumu aprēķinā, tās tiek pārklasificētas uz Mātes sabiedrības</w:t>
      </w:r>
      <w:r w:rsidRPr="00D1358A">
        <w:rPr>
          <w:rFonts w:ascii="Arial Narrow" w:eastAsia="Arial Narrow" w:hAnsi="Arial Narrow" w:cs="Arial Narrow"/>
          <w:sz w:val="16"/>
          <w:szCs w:val="16"/>
          <w:lang w:val="lv-LV"/>
        </w:rPr>
        <w:t xml:space="preserve"> pašu kapitālu. </w:t>
      </w:r>
    </w:p>
    <w:p w:rsidR="00BB2074" w:rsidRPr="00D1358A" w:rsidP="00BB2074" w14:paraId="16CBE63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274A82B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Ja Koncerns zaudē kontroli pār meitas sabiedrību, tas:</w:t>
      </w:r>
    </w:p>
    <w:p w:rsidR="00BB2074" w:rsidRPr="00D1358A" w:rsidP="00BB2074" w14:paraId="7085D16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pārtrauc atzīt meitas sabiedrības aktīvus (arī nemateriālo vērtību) un saistības;</w:t>
      </w:r>
    </w:p>
    <w:p w:rsidR="00BB2074" w:rsidRPr="00D1358A" w:rsidP="00BB2074" w14:paraId="58BECF8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pārtrauc atzīt nekontrolējošo līdzdalību atbilstoši tās uzskaites vērtībai;</w:t>
      </w:r>
    </w:p>
    <w:p w:rsidR="00BB2074" w:rsidRPr="00D1358A" w:rsidP="00BB2074" w14:paraId="2B2C64F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pārtrauc a</w:t>
      </w:r>
      <w:r w:rsidRPr="00D1358A">
        <w:rPr>
          <w:rFonts w:ascii="Arial Narrow" w:eastAsia="Arial Narrow" w:hAnsi="Arial Narrow" w:cs="Arial Narrow"/>
          <w:sz w:val="16"/>
          <w:szCs w:val="16"/>
          <w:lang w:val="lv-LV"/>
        </w:rPr>
        <w:t>tzīt pašu kapitālā uzskaitītās kumulatīvās pārrēķināšanas starpības;</w:t>
      </w:r>
    </w:p>
    <w:p w:rsidR="00BB2074" w:rsidRPr="00D1358A" w:rsidP="00BB2074" w14:paraId="6129C89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atzīst saņemtās atlīdzības patieso vērtību;</w:t>
      </w:r>
    </w:p>
    <w:p w:rsidR="00BB2074" w:rsidRPr="00D1358A" w:rsidP="00BB2074" w14:paraId="1B0154E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atzīst paturētos ieguldījumus atbilstoši to patiesajai vērtībai;</w:t>
      </w:r>
    </w:p>
    <w:p w:rsidR="00BB2074" w:rsidRPr="00D1358A" w:rsidP="00BB2074" w14:paraId="1D22C1B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atzīst jebkādus guvumus vai zaudējumus apvienoto ienākumu pārskatā;</w:t>
      </w:r>
    </w:p>
    <w:p w:rsidR="00BB2074" w:rsidRPr="00D1358A" w:rsidP="00BB2074" w14:paraId="596D576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atka</w:t>
      </w:r>
      <w:r w:rsidRPr="00D1358A">
        <w:rPr>
          <w:rFonts w:ascii="Arial Narrow" w:eastAsia="Arial Narrow" w:hAnsi="Arial Narrow" w:cs="Arial Narrow"/>
          <w:sz w:val="16"/>
          <w:szCs w:val="16"/>
          <w:lang w:val="lv-LV"/>
        </w:rPr>
        <w:t>rībā no apstākļiem pārklasificē visas uz Koncernu attiecināmās summas, kas iepriekš atzītas pārējo apvienoto ienākumu sastāvā, kā peļņu vai zaudējumus, vai nesadalīto peļņu.</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P="009F1BA3" w14:paraId="5BA2EE2E" w14:textId="77777777">
      <w:pPr>
        <w:keepLines/>
        <w:spacing w:after="0"/>
        <w:ind w:firstLine="720"/>
        <w:jc w:val="both"/>
        <w:rPr>
          <w:rFonts w:ascii="Arial Narrow" w:eastAsia="Arial Narrow" w:hAnsi="Arial Narrow" w:cs="Arial Narrow"/>
          <w:sz w:val="16"/>
          <w:szCs w:val="16"/>
          <w:lang w:val="lv-LV"/>
        </w:rPr>
      </w:pPr>
    </w:p>
    <w:p w:rsidR="00BB2074" w:rsidP="009F1BA3" w14:paraId="448E2ADA" w14:textId="77777777">
      <w:pPr>
        <w:keepLines/>
        <w:spacing w:after="0"/>
        <w:ind w:firstLine="720"/>
        <w:jc w:val="both"/>
        <w:rPr>
          <w:rFonts w:ascii="Arial Narrow" w:eastAsia="Arial Narrow" w:hAnsi="Arial Narrow" w:cs="Arial Narrow"/>
          <w:sz w:val="16"/>
          <w:szCs w:val="16"/>
          <w:lang w:val="lv-LV"/>
        </w:rPr>
      </w:pPr>
    </w:p>
    <w:p w:rsidR="00BB2074" w:rsidRPr="00D1358A" w:rsidP="009F1BA3" w14:paraId="16315FDE" w14:textId="3F052CA2">
      <w:pPr>
        <w:keepLines/>
        <w:spacing w:after="0"/>
        <w:ind w:firstLine="720"/>
        <w:jc w:val="both"/>
        <w:rPr>
          <w:rFonts w:ascii="Arial Narrow" w:eastAsia="Arial Narrow" w:hAnsi="Arial Narrow" w:cs="Arial Narrow"/>
          <w:sz w:val="16"/>
          <w:szCs w:val="16"/>
          <w:lang w:val="lv-LV"/>
        </w:rPr>
        <w:sectPr w:rsidSect="00B35876">
          <w:headerReference w:type="even" r:id="rId30"/>
          <w:headerReference w:type="default" r:id="rId31"/>
          <w:footerReference w:type="even" r:id="rId32"/>
          <w:footerReference w:type="default" r:id="rId33"/>
          <w:headerReference w:type="first" r:id="rId34"/>
          <w:footerReference w:type="first" r:id="rId35"/>
          <w:pgSz w:w="11906" w:h="16838"/>
          <w:pgMar w:top="1418" w:right="1134" w:bottom="851" w:left="1134" w:header="431" w:footer="431" w:gutter="0"/>
          <w:pgBorders w:zOrder="front" w:display="allPages" w:offsetFrom="text">
            <w:top w:val="nil"/>
            <w:left w:val="nil"/>
            <w:bottom w:val="nil"/>
            <w:right w:val="nil"/>
          </w:pgBorders>
          <w:cols w:num="1" w:sep="0" w:space="720" w:equalWidth="1"/>
          <w:vAlign w:val="top"/>
          <w:titlePg w:val="0"/>
          <w:rtlGutter w:val="0"/>
          <w:docGrid w:linePitch="360"/>
        </w:sectPr>
      </w:pPr>
    </w:p>
    <w:p w:rsidR="00A5438E" w:rsidRPr="00D1358A" w:rsidP="008E47ED" w14:paraId="019942DB" w14:textId="4343AC2F">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 xml:space="preserve">2. Nozīmīgu </w:t>
      </w:r>
      <w:r w:rsidRPr="00D1358A">
        <w:rPr>
          <w:rFonts w:ascii="Arial Narrow" w:eastAsia="Arial Narrow" w:hAnsi="Arial Narrow" w:cs="Arial Narrow"/>
          <w:b/>
          <w:bCs/>
          <w:sz w:val="16"/>
          <w:szCs w:val="16"/>
          <w:lang w:val="lv-LV"/>
        </w:rPr>
        <w:t>grāmatvedības uzskaites principu kopsavilkums (turpinājums)</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C3400D" w:rsidP="008E47ED" w14:paraId="24ED666C"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d</w:t>
      </w:r>
      <w:r w:rsidRPr="00D1358A" w:rsidR="00956C92">
        <w:rPr>
          <w:rFonts w:ascii="Arial Narrow" w:eastAsia="Arial Narrow" w:hAnsi="Arial Narrow" w:cs="Arial Narrow"/>
          <w:b/>
          <w:bCs/>
          <w:i/>
          <w:iCs/>
          <w:sz w:val="16"/>
          <w:szCs w:val="16"/>
          <w:lang w:val="lv-LV"/>
        </w:rPr>
        <w:t>) Svarīgākās grāmatvedības uzskaites politikas (turpinājums)</w:t>
      </w:r>
      <w:r w:rsidRPr="00D1358A" w:rsidR="00956C92">
        <w:rPr>
          <w:rFonts w:ascii="Arial Narrow" w:eastAsia="Arial Narrow" w:hAnsi="Arial Narrow" w:cs="Arial Narrow"/>
          <w:b/>
          <w:bCs/>
          <w:i/>
          <w:iCs/>
          <w:sz w:val="16"/>
          <w:szCs w:val="16"/>
          <w:lang w:val="lv-LV"/>
        </w:rPr>
        <w:tab/>
      </w:r>
      <w:r w:rsidRPr="00D1358A" w:rsidR="00956C92">
        <w:rPr>
          <w:rFonts w:ascii="Arial Narrow" w:eastAsia="Arial Narrow" w:hAnsi="Arial Narrow" w:cs="Arial Narrow"/>
          <w:b/>
          <w:bCs/>
          <w:i/>
          <w:iCs/>
          <w:sz w:val="16"/>
          <w:szCs w:val="16"/>
          <w:lang w:val="lv-LV"/>
        </w:rPr>
        <w:tab/>
      </w:r>
      <w:r w:rsidRPr="00D1358A" w:rsidR="00956C92">
        <w:rPr>
          <w:rFonts w:ascii="Arial Narrow" w:eastAsia="Arial Narrow" w:hAnsi="Arial Narrow" w:cs="Arial Narrow"/>
          <w:b/>
          <w:bCs/>
          <w:i/>
          <w:iCs/>
          <w:sz w:val="16"/>
          <w:szCs w:val="16"/>
          <w:lang w:val="lv-LV"/>
        </w:rPr>
        <w:tab/>
      </w:r>
      <w:r w:rsidRPr="00D1358A" w:rsidR="00956C92">
        <w:rPr>
          <w:rFonts w:ascii="Arial Narrow" w:eastAsia="Arial Narrow" w:hAnsi="Arial Narrow" w:cs="Arial Narrow"/>
          <w:b/>
          <w:bCs/>
          <w:i/>
          <w:iCs/>
          <w:sz w:val="16"/>
          <w:szCs w:val="16"/>
          <w:lang w:val="lv-LV"/>
        </w:rPr>
        <w:tab/>
      </w:r>
      <w:r w:rsidRPr="00D1358A" w:rsidR="00956C92">
        <w:rPr>
          <w:rFonts w:ascii="Arial Narrow" w:eastAsia="Arial Narrow" w:hAnsi="Arial Narrow" w:cs="Arial Narrow"/>
          <w:b/>
          <w:bCs/>
          <w:i/>
          <w:iCs/>
          <w:sz w:val="16"/>
          <w:szCs w:val="16"/>
          <w:lang w:val="lv-LV"/>
        </w:rPr>
        <w:tab/>
      </w:r>
      <w:r w:rsidRPr="00D1358A" w:rsidR="00956C92">
        <w:rPr>
          <w:rFonts w:ascii="Arial Narrow" w:eastAsia="Arial Narrow" w:hAnsi="Arial Narrow" w:cs="Arial Narrow"/>
          <w:b/>
          <w:bCs/>
          <w:i/>
          <w:iCs/>
          <w:sz w:val="16"/>
          <w:szCs w:val="16"/>
          <w:lang w:val="lv-LV"/>
        </w:rPr>
        <w:tab/>
      </w:r>
    </w:p>
    <w:p w:rsidR="00C3400D" w:rsidP="008E47ED" w14:paraId="1DB9A734" w14:textId="77777777">
      <w:pPr>
        <w:keepLines/>
        <w:spacing w:after="0"/>
        <w:jc w:val="both"/>
        <w:rPr>
          <w:rFonts w:ascii="Arial Narrow" w:eastAsia="Arial Narrow" w:hAnsi="Arial Narrow" w:cs="Arial Narrow"/>
          <w:b/>
          <w:bCs/>
          <w:i/>
          <w:iCs/>
          <w:sz w:val="16"/>
          <w:szCs w:val="16"/>
          <w:lang w:val="lv-LV"/>
        </w:rPr>
      </w:pPr>
    </w:p>
    <w:p w:rsidR="00A5438E" w:rsidRPr="00C3400D" w:rsidP="008E47ED" w14:paraId="6FA672D2" w14:textId="427F0398">
      <w:pPr>
        <w:keepLines/>
        <w:spacing w:after="0"/>
        <w:jc w:val="both"/>
        <w:rPr>
          <w:rFonts w:ascii="Arial Narrow" w:eastAsia="Arial Narrow" w:hAnsi="Arial Narrow" w:cs="Arial Narrow"/>
          <w:b/>
          <w:bCs/>
          <w:sz w:val="16"/>
          <w:szCs w:val="16"/>
          <w:lang w:val="lv-LV"/>
        </w:rPr>
      </w:pPr>
      <w:r w:rsidRPr="00C3400D">
        <w:rPr>
          <w:rFonts w:ascii="Arial Narrow" w:eastAsia="Arial Narrow" w:hAnsi="Arial Narrow" w:cs="Arial Narrow"/>
          <w:b/>
          <w:bCs/>
          <w:sz w:val="16"/>
          <w:szCs w:val="16"/>
          <w:lang w:val="lv-LV"/>
        </w:rPr>
        <w:t>Konsolidācijas pamatnostādnes (turpinājums)</w:t>
      </w:r>
      <w:r w:rsidRPr="00C3400D">
        <w:rPr>
          <w:rFonts w:ascii="Arial Narrow" w:eastAsia="Arial Narrow" w:hAnsi="Arial Narrow" w:cs="Arial Narrow"/>
          <w:b/>
          <w:bCs/>
          <w:sz w:val="16"/>
          <w:szCs w:val="16"/>
          <w:lang w:val="lv-LV"/>
        </w:rPr>
        <w:tab/>
      </w:r>
    </w:p>
    <w:p w:rsidR="00A5438E" w:rsidRPr="00C3400D" w:rsidP="008E47ED" w14:paraId="33F1C75A" w14:textId="503CFE99">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sz w:val="16"/>
          <w:szCs w:val="16"/>
          <w:lang w:val="lv-LV"/>
        </w:rPr>
        <w:t>Uzņēmējdarbības apvienošana</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A5438E" w:rsidRPr="00D1358A" w:rsidP="008E47ED" w14:paraId="5C7EECDF" w14:textId="6AE0DC1B">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Uzņēmējdarbības </w:t>
      </w:r>
      <w:r w:rsidRPr="00D1358A">
        <w:rPr>
          <w:rFonts w:ascii="Arial Narrow" w:eastAsia="Arial Narrow" w:hAnsi="Arial Narrow" w:cs="Arial Narrow"/>
          <w:sz w:val="16"/>
          <w:szCs w:val="16"/>
          <w:lang w:val="lv-LV"/>
        </w:rPr>
        <w:t>apvienošana tiek uzskaitīta, izmantojot iegādes metodi. Iegādes izmaksas ir nosakāmas kā kopsumma, ko veido nodotā atlīdzība, kas noteikta pēc patiesās vērtības iegādes datumā un jebkādas nekontrolējošās līdzdalības apmēra iegādātajā sabiedrībā. Katrā uzņē</w:t>
      </w:r>
      <w:r w:rsidRPr="00D1358A">
        <w:rPr>
          <w:rFonts w:ascii="Arial Narrow" w:eastAsia="Arial Narrow" w:hAnsi="Arial Narrow" w:cs="Arial Narrow"/>
          <w:sz w:val="16"/>
          <w:szCs w:val="16"/>
          <w:lang w:val="lv-LV"/>
        </w:rPr>
        <w:t>mējdarbības apvienošanas darījumā Koncerns izdara izvēli novērtēt nekontrolējošo līdzdalību iegādātajā sabiedrībā vai nu pēc patiesās vērtības, vai arī pēc nekontrolējošās līdzdalības proporcionālās daļas iegādātās sabiedrības identificējamos neto aktīvos.</w:t>
      </w:r>
      <w:r w:rsidRPr="00D1358A">
        <w:rPr>
          <w:rFonts w:ascii="Arial Narrow" w:eastAsia="Arial Narrow" w:hAnsi="Arial Narrow" w:cs="Arial Narrow"/>
          <w:sz w:val="16"/>
          <w:szCs w:val="16"/>
          <w:lang w:val="lv-LV"/>
        </w:rPr>
        <w:t xml:space="preserve"> Iegādes izmaksas tiek atspoguļotas apvienoto ienākumu pārskatā kā pārējās saimnieciskās darbības izmaksas.</w:t>
      </w:r>
    </w:p>
    <w:p w:rsidR="00A5438E" w:rsidRPr="00D1358A" w:rsidP="008E47ED" w14:paraId="0C52108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8FA9D2F" w14:textId="4F68D671">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Koncernam iegādājoties kādu sabiedrību, tas novērtē iegādātos finanšu aktīvus un pārņemtās saistības, lai tos atbilstoši klasificētu vai noteiktu, pamatojoties uz līgumu noteikumiem, ekonomiskajiem apstākļiem un citiem attiecināmajiem nosacījumiem iegādes </w:t>
      </w:r>
      <w:r w:rsidRPr="00D1358A">
        <w:rPr>
          <w:rFonts w:ascii="Arial Narrow" w:eastAsia="Arial Narrow" w:hAnsi="Arial Narrow" w:cs="Arial Narrow"/>
          <w:sz w:val="16"/>
          <w:szCs w:val="16"/>
          <w:lang w:val="lv-LV"/>
        </w:rPr>
        <w:t>datumā. Tas nozīmē arī to, ka iegādātajai sabiedrībai visi iegūtie atvasinātie finanšu instrumenti jāatdala no galvenā līguma.</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16D0A3D"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F2E8ADF" w14:textId="74F3F6B4">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Ja uzņēmējdarbības apvienošana tiek veikta pakāpeniski, pircēja jau iepriekš bijušās līdzdalības iegādātās sabiedrī</w:t>
      </w:r>
      <w:r w:rsidRPr="00D1358A">
        <w:rPr>
          <w:rFonts w:ascii="Arial Narrow" w:eastAsia="Arial Narrow" w:hAnsi="Arial Narrow" w:cs="Arial Narrow"/>
          <w:sz w:val="16"/>
          <w:szCs w:val="16"/>
          <w:lang w:val="lv-LV"/>
        </w:rPr>
        <w:t xml:space="preserve">bas pašu kapitālā patiesā vērtība iegādes datumā tiek pārvērtēta atbilstoši patiesajai vērtībai iegādes datumā ar atspoguļojumu peļņas vai zaudējumu un apvienoto ienākumu pārskatā. </w:t>
      </w:r>
      <w:r w:rsidRPr="00D1358A">
        <w:rPr>
          <w:rFonts w:ascii="Arial Narrow" w:eastAsia="Arial Narrow" w:hAnsi="Arial Narrow" w:cs="Arial Narrow"/>
          <w:sz w:val="16"/>
          <w:szCs w:val="16"/>
          <w:lang w:val="lv-LV"/>
        </w:rPr>
        <w:tab/>
      </w:r>
    </w:p>
    <w:p w:rsidR="00A5438E" w:rsidRPr="00D1358A" w:rsidP="008E47ED" w14:paraId="0792562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484FCB1" w14:textId="03F796C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Ja uzņēmējdarbības apvienošanas sākotnējā uzskaite nav pabeigta</w:t>
      </w:r>
      <w:r w:rsidRPr="00D1358A">
        <w:rPr>
          <w:rFonts w:ascii="Arial Narrow" w:eastAsia="Arial Narrow" w:hAnsi="Arial Narrow" w:cs="Arial Narrow"/>
          <w:sz w:val="16"/>
          <w:szCs w:val="16"/>
          <w:lang w:val="lv-LV"/>
        </w:rPr>
        <w:t xml:space="preserve"> līdz tā pārskata perioda beigām, kurā notiek apvienošana, Koncerns savos finanšu pārskatos norāda provizoriskas summas par tiem posteņiem, kuru uzskaites dati ir nepilnīgi. Novērtējuma perioda laikā Koncerns retrospektīvi koriģē iegādes datumā atzītās pro</w:t>
      </w:r>
      <w:r w:rsidRPr="00D1358A">
        <w:rPr>
          <w:rFonts w:ascii="Arial Narrow" w:eastAsia="Arial Narrow" w:hAnsi="Arial Narrow" w:cs="Arial Narrow"/>
          <w:sz w:val="16"/>
          <w:szCs w:val="16"/>
          <w:lang w:val="lv-LV"/>
        </w:rPr>
        <w:t>vizoriskās summas, lai tās atspoguļotu jauno informāciju, kas iegūta par faktiem un apstākļiem, kuri bija spēkā iegādes datumā un, ja tie būtu bijuši zināmi, būtu ietekmējuši šajā datumā atzīto summu novērtējumu. Novērtējuma perioda laikā Koncerns arī atzī</w:t>
      </w:r>
      <w:r w:rsidRPr="00D1358A">
        <w:rPr>
          <w:rFonts w:ascii="Arial Narrow" w:eastAsia="Arial Narrow" w:hAnsi="Arial Narrow" w:cs="Arial Narrow"/>
          <w:sz w:val="16"/>
          <w:szCs w:val="16"/>
          <w:lang w:val="lv-LV"/>
        </w:rPr>
        <w:t>st papildu aktīvus vai saistības, ja ir saņemta informācija par faktiem un apstākļiem, kas bija spēkā iegādes datumā un, ja tie būtu bijuši zināmi, būtu izraisījuši šo aktīvu un saistību atzīšanu šajā datumā. Novērtējuma periods beidzas, tiklīdz Koncerns s</w:t>
      </w:r>
      <w:r w:rsidRPr="00D1358A">
        <w:rPr>
          <w:rFonts w:ascii="Arial Narrow" w:eastAsia="Arial Narrow" w:hAnsi="Arial Narrow" w:cs="Arial Narrow"/>
          <w:sz w:val="16"/>
          <w:szCs w:val="16"/>
          <w:lang w:val="lv-LV"/>
        </w:rPr>
        <w:t xml:space="preserve">aņem meklēto informāciju par faktiem un apstākļiem, kas bija spēkā iegādes datumā, vai uzzina, ka papildu informācija nav pieejama. Tomēr novērtējuma periods nepārsniedz vienu gadu no iegādes datuma.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CDED11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105DFE2" w14:textId="4C600F15">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Jebkāda iespējamā atlīdzība, kas pircējam</w:t>
      </w:r>
      <w:r w:rsidRPr="00D1358A">
        <w:rPr>
          <w:rFonts w:ascii="Arial Narrow" w:eastAsia="Arial Narrow" w:hAnsi="Arial Narrow" w:cs="Arial Narrow"/>
          <w:sz w:val="16"/>
          <w:szCs w:val="16"/>
          <w:lang w:val="lv-LV"/>
        </w:rPr>
        <w:t xml:space="preserve"> jāmaksā par iegādāto sabiedrību, tiek atzīta tās patiesajā vērtībā iegādes datumā. Turpmākās izmaiņas iespējamās atlīdzības patiesajā vērtībā, ja šī atlīdzība klasificēta kā aktīvs vai saistības, tiek atzītas apvienoto ienākumu pārskatā saskaņā ar SFPS Nr</w:t>
      </w:r>
      <w:r w:rsidRPr="00D1358A">
        <w:rPr>
          <w:rFonts w:ascii="Arial Narrow" w:eastAsia="Arial Narrow" w:hAnsi="Arial Narrow" w:cs="Arial Narrow"/>
          <w:sz w:val="16"/>
          <w:szCs w:val="16"/>
          <w:lang w:val="lv-LV"/>
        </w:rPr>
        <w:t xml:space="preserve">.9. Ja iespējamā atlīdzība klasificēta kā pašu kapitāls, tā netiek pārvērtēta. Turpmākus norēķinus uzskaita pašu kapitāla sastāvā. Ja uz iespējamo atlīdzību nav attiecināms SFPS Nr.9, tā tiek novērtēta patiesajā vērtībā un uzrādīta peļņas vai zaudējumu un </w:t>
      </w:r>
      <w:r w:rsidRPr="00D1358A">
        <w:rPr>
          <w:rFonts w:ascii="Arial Narrow" w:eastAsia="Arial Narrow" w:hAnsi="Arial Narrow" w:cs="Arial Narrow"/>
          <w:sz w:val="16"/>
          <w:szCs w:val="16"/>
          <w:lang w:val="lv-LV"/>
        </w:rPr>
        <w:t>apvienoto ienākumu pārskatā.</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96AA91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BE66001" w14:textId="77777777">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Citi nemateriālie aktīvi</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A5438E" w:rsidRPr="00D1358A" w:rsidP="008E47ED" w14:paraId="6FFDCF1E" w14:textId="4E4C3FFD">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Nemateriālie aktīvi ir uzskaitīti to sākotnējā vērtībā, kura tiek amortizēta aktīvu lietderīgās lietošanas laikā, izmantojot lineāro metodi. Ja kādi notikumi vai apstākļu maiņa l</w:t>
      </w:r>
      <w:r w:rsidRPr="00D1358A">
        <w:rPr>
          <w:rFonts w:ascii="Arial Narrow" w:eastAsia="Arial Narrow" w:hAnsi="Arial Narrow" w:cs="Arial Narrow"/>
          <w:sz w:val="16"/>
          <w:szCs w:val="16"/>
          <w:lang w:val="lv-LV"/>
        </w:rPr>
        <w:t>iecina, ka nemateriālo aktīvu bilances vērtība varētu būt neatgūstama, attiecīgo nemateriālo aktīvu vērtība tiek pārskatīta, lai noteiktu to vērtības samazināšanos. Zaudējumi vērtības samazināšanās rezultātā tiek atzīti, ja nemateriālo aktīvu bilances vērt</w:t>
      </w:r>
      <w:r w:rsidRPr="00D1358A">
        <w:rPr>
          <w:rFonts w:ascii="Arial Narrow" w:eastAsia="Arial Narrow" w:hAnsi="Arial Narrow" w:cs="Arial Narrow"/>
          <w:sz w:val="16"/>
          <w:szCs w:val="16"/>
          <w:lang w:val="lv-LV"/>
        </w:rPr>
        <w:t>ība pārsniedz to atgūstamo summu.</w:t>
      </w:r>
      <w:r w:rsidRPr="00D1358A">
        <w:rPr>
          <w:rFonts w:ascii="Arial Narrow" w:eastAsia="Arial Narrow" w:hAnsi="Arial Narrow" w:cs="Arial Narrow"/>
          <w:sz w:val="16"/>
          <w:szCs w:val="16"/>
          <w:lang w:val="lv-LV"/>
        </w:rPr>
        <w:tab/>
      </w:r>
    </w:p>
    <w:p w:rsidR="00A5438E" w:rsidRPr="00D1358A" w:rsidP="008E47ED" w14:paraId="46C5AAC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8358E3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Citi nemateriālie aktīvi ir galvenokārt iegādātās datoru programmatūras.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99D28A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Amortizācija tiek aprēķināta šādā aktīva lietderīgās lietošanas laikā, izmantojot lineāro metodi: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D1358A" w:rsidP="008E47ED" w14:paraId="1AFCF88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Koncesijas, patenti, l</w:t>
      </w:r>
      <w:r w:rsidRPr="00D1358A">
        <w:rPr>
          <w:rFonts w:ascii="Arial Narrow" w:eastAsia="Arial Narrow" w:hAnsi="Arial Narrow" w:cs="Arial Narrow"/>
          <w:sz w:val="16"/>
          <w:szCs w:val="16"/>
          <w:lang w:val="lv-LV"/>
        </w:rPr>
        <w:t>icences tamlīdzīgas tiesības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t>- 1 gada laikā;</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EDF090C" w14:textId="75D85931">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Citi nemateriālie ieguldījumi - iegādātas IT sistēmas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t>- 2, 3 un 5 gadu laikā.</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BC7BE70" w14:textId="48FF32B1">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Pamatlīdzekļi</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18E1ABAD" w14:textId="1C2F7AB6">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Pamatlīdzekļi ir uzskaitīti to sākotnējā vērtībā, atskaitot uzkrāto nolietojumu un vērtības sama</w:t>
      </w:r>
      <w:r w:rsidRPr="00D1358A">
        <w:rPr>
          <w:rFonts w:ascii="Arial Narrow" w:eastAsia="Arial Narrow" w:hAnsi="Arial Narrow" w:cs="Arial Narrow"/>
          <w:sz w:val="16"/>
          <w:szCs w:val="16"/>
          <w:lang w:val="lv-LV"/>
        </w:rPr>
        <w:t>zinājumu. Nolietojums tiek aprēķināts šādā aktīva lietderīgās lietošanas laikā, izmantojot lineāro metodi: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FB3E94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Datori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t>- 3 gadu laikā;</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40926C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Mēbeles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t>- 5 gadu laikā;</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E208B8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Automašīnas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t>- 7 gadu laikā;</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196D7CC" w14:textId="05C44306">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Ieguldījumi nomātos pamatlīdzekļos</w:t>
      </w:r>
      <w:r w:rsidRPr="00D1358A">
        <w:rPr>
          <w:rFonts w:ascii="Arial Narrow" w:eastAsia="Arial Narrow" w:hAnsi="Arial Narrow" w:cs="Arial Narrow"/>
          <w:sz w:val="16"/>
          <w:szCs w:val="16"/>
          <w:lang w:val="lv-LV"/>
        </w:rPr>
        <w:tab/>
        <w:t xml:space="preserve">- saskaņā ar </w:t>
      </w:r>
      <w:r w:rsidRPr="00D1358A">
        <w:rPr>
          <w:rFonts w:ascii="Arial Narrow" w:eastAsia="Arial Narrow" w:hAnsi="Arial Narrow" w:cs="Arial Narrow"/>
          <w:sz w:val="16"/>
          <w:szCs w:val="16"/>
          <w:lang w:val="lv-LV"/>
        </w:rPr>
        <w:t>nomas termiņu;</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C3400D" w:rsidP="008E47ED" w14:paraId="5273FE5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Pārējās iekārtas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t>- 2 gadu laikā.</w:t>
      </w:r>
      <w:r w:rsidRPr="00D1358A">
        <w:rPr>
          <w:rFonts w:ascii="Arial Narrow" w:eastAsia="Arial Narrow" w:hAnsi="Arial Narrow" w:cs="Arial Narrow"/>
          <w:sz w:val="16"/>
          <w:szCs w:val="16"/>
          <w:lang w:val="lv-LV"/>
        </w:rPr>
        <w:tab/>
      </w:r>
    </w:p>
    <w:p w:rsidR="00A5438E" w:rsidRPr="00D1358A" w:rsidP="00D1358A" w14:paraId="411FA8A8" w14:textId="70FBF308">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sidR="00997916">
        <w:rPr>
          <w:rFonts w:ascii="Arial Narrow" w:eastAsia="Arial Narrow" w:hAnsi="Arial Narrow" w:cs="Arial Narrow"/>
          <w:sz w:val="16"/>
          <w:szCs w:val="16"/>
          <w:lang w:val="lv-LV"/>
        </w:rPr>
        <w:tab/>
      </w:r>
      <w:r w:rsidRPr="00D1358A" w:rsidR="00997916">
        <w:rPr>
          <w:rFonts w:ascii="Arial Narrow" w:eastAsia="Arial Narrow" w:hAnsi="Arial Narrow" w:cs="Arial Narrow"/>
          <w:sz w:val="16"/>
          <w:szCs w:val="16"/>
          <w:lang w:val="lv-LV"/>
        </w:rPr>
        <w:tab/>
      </w:r>
      <w:r w:rsidRPr="00D1358A" w:rsidR="00997916">
        <w:rPr>
          <w:rFonts w:ascii="Arial Narrow" w:eastAsia="Arial Narrow" w:hAnsi="Arial Narrow" w:cs="Arial Narrow"/>
          <w:sz w:val="16"/>
          <w:szCs w:val="16"/>
          <w:lang w:val="lv-LV"/>
        </w:rPr>
        <w:tab/>
      </w:r>
    </w:p>
    <w:p w:rsidR="00A5438E" w:rsidRPr="00D1358A" w:rsidP="008E47ED" w14:paraId="171107DF" w14:textId="2ED9CDCF">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Nolietojumu sāk aprēķināt brīdī, kad aktīvs kļūst pieejams lietošanai, t.i., kad tas ir nogādāts vietā un atrodas stāvoklī, kas nepieciešams, lai to varētu ekspluatēt vadības paredzētajā veidā. Ja kādi notikumi vai apstākļu maiņa liecina, ka pamatlīdzekļu </w:t>
      </w:r>
      <w:r w:rsidRPr="00D1358A">
        <w:rPr>
          <w:rFonts w:ascii="Arial Narrow" w:eastAsia="Arial Narrow" w:hAnsi="Arial Narrow" w:cs="Arial Narrow"/>
          <w:sz w:val="16"/>
          <w:szCs w:val="16"/>
          <w:lang w:val="lv-LV"/>
        </w:rPr>
        <w:t>uzskaites vērtība varētu būt neatgūstama, attiecīgo aktīvu vērtība tiek pārskatīta, lai noteiktu to vērtības samazinājumu. Ja eksistē vērtības neatgūstamības pazīmes un ja aktīva uzskaites vērtība pārsniedz aplēsto atgūstamo summu, aktīvs vai naudu ģenerēj</w:t>
      </w:r>
      <w:r w:rsidRPr="00D1358A">
        <w:rPr>
          <w:rFonts w:ascii="Arial Narrow" w:eastAsia="Arial Narrow" w:hAnsi="Arial Narrow" w:cs="Arial Narrow"/>
          <w:sz w:val="16"/>
          <w:szCs w:val="16"/>
          <w:lang w:val="lv-LV"/>
        </w:rPr>
        <w:t>ošā vienība tiek norakstīta līdz tā atgūstamajai summai. Pamatlīdzekļa atgūstamā summa ir lielākā no neto pārdošanas vērtības un lietošanas vērtības. Nosakot lietošanas vērtību, aplēstās nākotnes naudas plūsmas tiek diskontētas to tagadnes vērtībā, izmanto</w:t>
      </w:r>
      <w:r w:rsidRPr="00D1358A">
        <w:rPr>
          <w:rFonts w:ascii="Arial Narrow" w:eastAsia="Arial Narrow" w:hAnsi="Arial Narrow" w:cs="Arial Narrow"/>
          <w:sz w:val="16"/>
          <w:szCs w:val="16"/>
          <w:lang w:val="lv-LV"/>
        </w:rPr>
        <w:t>jot pirmsnodokļu diskonta likmi, kas atspoguļo tagadnes tirgus prognozes attiecībā uz aktīva vērtības izmaiņām un uz to attiecināmajiem riskiem. Aktīvam, kas pats nerada ievērojamas naudas plūsmas, atgūstamā summa tiek noteikta atbilstoši tam naudas plūsmu</w:t>
      </w:r>
      <w:r w:rsidRPr="00D1358A">
        <w:rPr>
          <w:rFonts w:ascii="Arial Narrow" w:eastAsia="Arial Narrow" w:hAnsi="Arial Narrow" w:cs="Arial Narrow"/>
          <w:sz w:val="16"/>
          <w:szCs w:val="16"/>
          <w:lang w:val="lv-LV"/>
        </w:rPr>
        <w:t xml:space="preserve"> ģenerējošajam aktīvam, pie kura tas pieder. Zaudējumi vērtības samazinājuma rezultātā tiek atzīti peļņas vai zaudējumu aprēķinā kā zaudējumi no vērtības samazināšanās.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P="008E47ED" w14:paraId="0CEAF99E" w14:textId="77777777">
      <w:pPr>
        <w:keepLines/>
        <w:spacing w:after="0"/>
        <w:jc w:val="both"/>
        <w:rPr>
          <w:rFonts w:ascii="Arial Narrow" w:eastAsia="Arial Narrow" w:hAnsi="Arial Narrow" w:cs="Arial Narrow"/>
          <w:sz w:val="16"/>
          <w:szCs w:val="16"/>
          <w:lang w:val="lv-LV"/>
        </w:rPr>
        <w:sectPr w:rsidSect="00B05740">
          <w:headerReference w:type="even" r:id="rId36"/>
          <w:headerReference w:type="default" r:id="rId37"/>
          <w:footerReference w:type="even" r:id="rId38"/>
          <w:footerReference w:type="default" r:id="rId39"/>
          <w:headerReference w:type="first" r:id="rId40"/>
          <w:footerReference w:type="first" r:id="rId41"/>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r w:rsidRPr="00D1358A">
        <w:rPr>
          <w:rFonts w:ascii="Arial Narrow" w:eastAsia="Arial Narrow" w:hAnsi="Arial Narrow" w:cs="Arial Narrow"/>
          <w:sz w:val="16"/>
          <w:szCs w:val="16"/>
          <w:lang w:val="lv-LV"/>
        </w:rPr>
        <w:t>Pamatlīdzekļu objektu uzskaites vērtības atzīšanu pārtrauc, ja</w:t>
      </w:r>
      <w:r w:rsidRPr="00D1358A">
        <w:rPr>
          <w:rFonts w:ascii="Arial Narrow" w:eastAsia="Arial Narrow" w:hAnsi="Arial Narrow" w:cs="Arial Narrow"/>
          <w:sz w:val="16"/>
          <w:szCs w:val="16"/>
          <w:lang w:val="lv-LV"/>
        </w:rPr>
        <w:t xml:space="preserve"> tas tiek atsavināts vai gadījumā, kad no aktīva turpmākās lietošanas nākotnē nav sagaidāmi nekādi saimnieciskie labumi. Jebkāda peļņa vai zaudējumi, kas radušies aktīva atzīšanas pārtraukšanas rezultātā (ko aprēķina kā starpību starp neto ieņēmumiem no at</w:t>
      </w:r>
      <w:r w:rsidRPr="00D1358A">
        <w:rPr>
          <w:rFonts w:ascii="Arial Narrow" w:eastAsia="Arial Narrow" w:hAnsi="Arial Narrow" w:cs="Arial Narrow"/>
          <w:sz w:val="16"/>
          <w:szCs w:val="16"/>
          <w:lang w:val="lv-LV"/>
        </w:rPr>
        <w:t>savināšanas un pamatlīdzekļa uzskaites vērtību), tiek atzīta peļņas vai zaudējumu un apvienoto ienākumu pārskatā tajā gadā, kad notikusi pamatlīdzekļa atzīšanas pārtraukšana</w:t>
      </w:r>
    </w:p>
    <w:p w:rsidR="00D1358A" w:rsidP="008E47ED" w14:paraId="67C418C2" w14:textId="0C16F08B">
      <w:pPr>
        <w:keepLines/>
        <w:spacing w:after="0"/>
        <w:jc w:val="both"/>
        <w:rPr>
          <w:rFonts w:ascii="Arial Narrow" w:eastAsia="Arial Narrow" w:hAnsi="Arial Narrow" w:cs="Arial Narrow"/>
          <w:sz w:val="16"/>
          <w:szCs w:val="16"/>
          <w:lang w:val="lv-LV"/>
        </w:rPr>
      </w:pPr>
    </w:p>
    <w:p w:rsidR="00C3400D" w:rsidRPr="00D1358A" w:rsidP="00C3400D" w14:paraId="797D951A" w14:textId="77777777">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2. Nozīmīgu grāmatvedības uzskaites principu kopsavilkums (turpinājums)</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BB2074" w:rsidP="00C3400D" w14:paraId="6093A9D1" w14:textId="38F2F3D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d) Svarīgākās grāmatvedības uzskaites politikas (turpinājums)</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C3400D" w:rsidP="00C3400D" w14:paraId="5B815E90" w14:textId="77777777">
      <w:pPr>
        <w:keepLines/>
        <w:spacing w:after="0"/>
        <w:jc w:val="both"/>
        <w:rPr>
          <w:rFonts w:ascii="Arial Narrow" w:eastAsia="Arial Narrow" w:hAnsi="Arial Narrow" w:cs="Arial Narrow"/>
          <w:sz w:val="16"/>
          <w:szCs w:val="16"/>
          <w:lang w:val="lv-LV"/>
        </w:rPr>
      </w:pPr>
    </w:p>
    <w:p w:rsidR="00BB2074" w:rsidRPr="00D1358A" w:rsidP="00BB2074" w14:paraId="261C858E"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Nomas autoparks</w:t>
      </w:r>
      <w:r w:rsidRPr="00D1358A">
        <w:rPr>
          <w:rFonts w:ascii="Arial Narrow" w:eastAsia="Arial Narrow" w:hAnsi="Arial Narrow" w:cs="Arial Narrow"/>
          <w:sz w:val="16"/>
          <w:szCs w:val="16"/>
          <w:lang w:val="lv-LV"/>
        </w:rPr>
        <w:t xml:space="preserve">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2F3C70A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Nomas autoparks ietver aktīvus, kurus Koncerns iznomā operatīvās nomas ietvaros kā nomnieks. Šos aktīvus Koncerns uzskaita saskaņā ar SGS Nr.16 </w:t>
      </w:r>
      <w:r w:rsidRPr="00D1358A">
        <w:rPr>
          <w:rFonts w:ascii="Arial Narrow" w:eastAsia="Arial Narrow" w:hAnsi="Arial Narrow" w:cs="Arial Narrow"/>
          <w:sz w:val="16"/>
          <w:szCs w:val="16"/>
          <w:lang w:val="lv-LV"/>
        </w:rPr>
        <w:t xml:space="preserve">prasībām. Operatīvās nomas aktīviem tiek piemērota tāda pati nolietojuma aprēķināšanas politika kā līdzīgiem Koncerna aktīviem (transportlīdzekļiem), un nolietojums tiek rēķināts 7 gadus.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3CB9946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Tiešās sākotnējās izmaksas, ieskaitot globālās pozicionēšana</w:t>
      </w:r>
      <w:r w:rsidRPr="00D1358A">
        <w:rPr>
          <w:rFonts w:ascii="Arial Narrow" w:eastAsia="Arial Narrow" w:hAnsi="Arial Narrow" w:cs="Arial Narrow"/>
          <w:sz w:val="16"/>
          <w:szCs w:val="16"/>
          <w:lang w:val="lv-LV"/>
        </w:rPr>
        <w:t>s sistēmas (GPS) izmaksas un dīleru komisijas, kas radušās, iegūstot operatīvās nomas objektu, Koncerns pievieno aktīva uzskaites vērtībai un atzīst kā izdevumus nomas perioda laikā tādā pašā veidā kā nomas ienākumus.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367DF01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Lai noteiktu, vai operatīvās </w:t>
      </w:r>
      <w:r w:rsidRPr="00D1358A">
        <w:rPr>
          <w:rFonts w:ascii="Arial Narrow" w:eastAsia="Arial Narrow" w:hAnsi="Arial Narrow" w:cs="Arial Narrow"/>
          <w:sz w:val="16"/>
          <w:szCs w:val="16"/>
          <w:lang w:val="lv-LV"/>
        </w:rPr>
        <w:t xml:space="preserve">nomas aktīva atlikusī vērtība ir neatgūstama un būtu nepieciešams atzīt zaudējumus no vērtības samazinājuma, Koncerns piemēro vispārējus principus, kas aprakstīti sadaļā “Nozīmīgi grāmatvedības spriedumi, aplēses un pieņēmumi” (3. piezīme).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1FC363D5"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Finan</w:t>
      </w:r>
      <w:r w:rsidRPr="00D1358A">
        <w:rPr>
          <w:rFonts w:ascii="Arial Narrow" w:eastAsia="Arial Narrow" w:hAnsi="Arial Narrow" w:cs="Arial Narrow"/>
          <w:b/>
          <w:bCs/>
          <w:i/>
          <w:iCs/>
          <w:sz w:val="16"/>
          <w:szCs w:val="16"/>
          <w:lang w:val="lv-LV"/>
        </w:rPr>
        <w:t xml:space="preserve">šu aktīvi </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BB2074" w:rsidRPr="00D1358A" w:rsidP="00BB2074" w14:paraId="25D9AA2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Finanšu instrumentu sākotnējā atzīšana</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2A61C12F"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Atzīšanas datums</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BB2074" w:rsidRPr="00D1358A" w:rsidP="00BB2074" w14:paraId="033CFD32"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Kredīti un izsniegtie avansi tiek atzīti, kad naudas līdzekļi tiek ieskaitīti klienta kontā. Citi aktīvi tiek atzīti brīdī, kad Koncerns noslēdz līgumu, ar kuru t</w:t>
      </w:r>
      <w:r w:rsidRPr="00D1358A">
        <w:rPr>
          <w:rFonts w:ascii="Arial Narrow" w:eastAsia="Arial Narrow" w:hAnsi="Arial Narrow" w:cs="Arial Narrow"/>
          <w:sz w:val="16"/>
          <w:szCs w:val="16"/>
          <w:lang w:val="lv-LV"/>
        </w:rPr>
        <w:t>iek radīts finanšu instruments.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55CA27D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4766C07E"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Finanšu instrumentu sākotnējā novērtēšana</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BB2074" w:rsidRPr="00D1358A" w:rsidP="00BB2074" w14:paraId="4BF36F6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Finanšu instrumenta klasifikācija sākotnējās atzīšanas brīdī ir atkarīga no konkrētā instrumenta līguma nosacījumiem un biznesa modeļa, kas izvēlēts instrumenta</w:t>
      </w:r>
      <w:r w:rsidRPr="00D1358A">
        <w:rPr>
          <w:rFonts w:ascii="Arial Narrow" w:eastAsia="Arial Narrow" w:hAnsi="Arial Narrow" w:cs="Arial Narrow"/>
          <w:sz w:val="16"/>
          <w:szCs w:val="16"/>
          <w:lang w:val="lv-LV"/>
        </w:rPr>
        <w:t xml:space="preserve"> pārvaldīšanai, kā aprakstīts turpmāk. Finanšu instrumenti sākotnēji tiek novērtēti patiesajā vērtībā, kurai pievienotas vai atskaitītas darījuma izmaksas. Izņēmums ir finanšu aktīvi un finanšu saistības, kas uzrādītas patiesajā vērtībā ar atspoguļojumu pe</w:t>
      </w:r>
      <w:r w:rsidRPr="00D1358A">
        <w:rPr>
          <w:rFonts w:ascii="Arial Narrow" w:eastAsia="Arial Narrow" w:hAnsi="Arial Narrow" w:cs="Arial Narrow"/>
          <w:sz w:val="16"/>
          <w:szCs w:val="16"/>
          <w:lang w:val="lv-LV"/>
        </w:rPr>
        <w:t xml:space="preserve">ļņas vai zaudējumu aprēķinā. Citi debitoru parādi tiek novērtēti darījuma vērtībā.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55057CC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4E9117F7"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Finanšu aktīvu klasificēšana</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BB2074" w:rsidRPr="00D1358A" w:rsidP="00BB2074" w14:paraId="2F513C9E"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Koncerns novērtē izsniegtos kredītus un izsniegtos avansus, radniecīgu sabiedrību parādus, aizdevumus radniecīgām s</w:t>
      </w:r>
      <w:r w:rsidRPr="00D1358A">
        <w:rPr>
          <w:rFonts w:ascii="Arial Narrow" w:eastAsia="Arial Narrow" w:hAnsi="Arial Narrow" w:cs="Arial Narrow"/>
          <w:sz w:val="16"/>
          <w:szCs w:val="16"/>
          <w:lang w:val="lv-LV"/>
        </w:rPr>
        <w:t>abiedrībām un pārējos aizdevumus un debitoru parādus amortizētajā iegādes vērtībā tikai tādā gadījumā, ja izpildīti abi no turpmāk minētajiem nosacījumiem:</w:t>
      </w:r>
    </w:p>
    <w:p w:rsidR="00BB2074" w:rsidRPr="00D1358A" w:rsidP="00BB2074" w14:paraId="5A8F43B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finanšu aktīvs tiek turēts tāda biznesa modeļa ietvaros, kura mērķis ir turēt aktīvus, lai iekasēt</w:t>
      </w:r>
      <w:r w:rsidRPr="00D1358A">
        <w:rPr>
          <w:rFonts w:ascii="Arial Narrow" w:eastAsia="Arial Narrow" w:hAnsi="Arial Narrow" w:cs="Arial Narrow"/>
          <w:sz w:val="16"/>
          <w:szCs w:val="16"/>
          <w:lang w:val="lv-LV"/>
        </w:rPr>
        <w:t>u līgumiskās naudas plūsmas, un</w:t>
      </w:r>
    </w:p>
    <w:p w:rsidR="00BB2074" w:rsidP="00BB2074" w14:paraId="5B15B18F" w14:textId="015ABB90">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saskaņā ar līguma nosacījumiem finanšu aktīvs noteiktos datumos rada naudas plūsmas, ko veido vienīgi pamatsummas un procentu maksājumi (angl.: Solely payments of principle and interest (SPPI)) par nenomaksāto pamatsummu.</w:t>
      </w:r>
      <w:r w:rsidRPr="00D1358A">
        <w:rPr>
          <w:rFonts w:ascii="Arial Narrow" w:eastAsia="Arial Narrow" w:hAnsi="Arial Narrow" w:cs="Arial Narrow"/>
          <w:sz w:val="16"/>
          <w:szCs w:val="16"/>
          <w:lang w:val="lv-LV"/>
        </w:rPr>
        <w:tab/>
      </w:r>
    </w:p>
    <w:p w:rsidR="00BB2074" w:rsidP="00BB2074" w14:paraId="10DA354B" w14:textId="77777777">
      <w:pPr>
        <w:keepLines/>
        <w:spacing w:after="0"/>
        <w:jc w:val="both"/>
        <w:rPr>
          <w:rFonts w:ascii="Arial Narrow" w:eastAsia="Arial Narrow" w:hAnsi="Arial Narrow" w:cs="Arial Narrow"/>
          <w:sz w:val="16"/>
          <w:szCs w:val="16"/>
          <w:lang w:val="lv-LV"/>
        </w:rPr>
      </w:pPr>
    </w:p>
    <w:p w:rsidR="00BB2074" w:rsidRPr="00D1358A" w:rsidP="00BB2074" w14:paraId="68BAFE10"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Biznesa modeļa novērtējums</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BB2074" w:rsidP="00BB2074" w14:paraId="73B7AED4" w14:textId="4FDD1B49">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Biznesa modeli Koncerns nosaka līmenī, kurš vislabāk atspoguļo veidu, kādā tas pārvalda finanšu aktīvu grupas ar mērķi sasniegt biznesa mērķi, riskus, kuri ietekmē biznesa modeļa darbību (un finanšu aktīvus, kas turēti šā biznesa modeļa ietvaros) un veidu,</w:t>
      </w:r>
      <w:r w:rsidRPr="00D1358A">
        <w:rPr>
          <w:rFonts w:ascii="Arial Narrow" w:eastAsia="Arial Narrow" w:hAnsi="Arial Narrow" w:cs="Arial Narrow"/>
          <w:sz w:val="16"/>
          <w:szCs w:val="16"/>
          <w:lang w:val="lv-LV"/>
        </w:rPr>
        <w:t xml:space="preserve"> kādā šie riski tiek pārvaldīti. Svarīgas Koncerna novērtējuma sastāvdaļas ir arī paredzamais pārdošanas darījumu biežums, vērtība un laiks. Biznesa modeļa novērtējums ir balstīts uz saprātīgi sagaidāmiem scenārijiem, neņemot vērā “sliktākos” vai “stresa” </w:t>
      </w:r>
      <w:r w:rsidRPr="00D1358A">
        <w:rPr>
          <w:rFonts w:ascii="Arial Narrow" w:eastAsia="Arial Narrow" w:hAnsi="Arial Narrow" w:cs="Arial Narrow"/>
          <w:sz w:val="16"/>
          <w:szCs w:val="16"/>
          <w:lang w:val="lv-LV"/>
        </w:rPr>
        <w:t>scenārijus. Ja pēc sākotnējās atzīšanas naudas plūsmas tiek realizētas citādāk nekā Koncerns bija sagaidījis, Koncerns nemaina atlikušo finanšu aktīvu, kas turēti konkrētā biznesa modeļa ietvaros, klasifikāciju, bet gan izmanto šādu informāciju, turpmāk iz</w:t>
      </w:r>
      <w:r w:rsidRPr="00D1358A">
        <w:rPr>
          <w:rFonts w:ascii="Arial Narrow" w:eastAsia="Arial Narrow" w:hAnsi="Arial Narrow" w:cs="Arial Narrow"/>
          <w:sz w:val="16"/>
          <w:szCs w:val="16"/>
          <w:lang w:val="lv-LV"/>
        </w:rPr>
        <w:t>vērtējot no jauna radītus vai iegādātus finanšu aktīvus. Novērtētais biznesa modelis ir turēt finanšu aktīvus, lai gūtu līgumā noteiktās naudas plūsmas.</w:t>
      </w:r>
      <w:r w:rsidRPr="00D1358A">
        <w:rPr>
          <w:rFonts w:ascii="Arial Narrow" w:eastAsia="Arial Narrow" w:hAnsi="Arial Narrow" w:cs="Arial Narrow"/>
          <w:sz w:val="16"/>
          <w:szCs w:val="16"/>
          <w:lang w:val="lv-LV"/>
        </w:rPr>
        <w:tab/>
      </w:r>
    </w:p>
    <w:p w:rsidR="00C3400D" w:rsidRPr="00D1358A" w:rsidP="00C3400D" w14:paraId="117ACDA4"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Vienīgi procentu un pamatsummas maksājumu (SPPI) tests</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C3400D" w:rsidRPr="00D1358A" w:rsidP="00C3400D" w14:paraId="2F2FBE1B"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sz w:val="16"/>
          <w:szCs w:val="16"/>
          <w:lang w:val="lv-LV"/>
        </w:rPr>
        <w:t>Kā otro posmu klasifikācijas procesā, ja iespējams, Koncerns novērtē finanšu aktīva līguma nosacījumus, lai noteiktu, vai tie atbilst SPPI kritērijam. Finanšu aktīvi, kuriem tiek veikts SPPI tests, ir kredīti un izsniegtie avansi (ieskaitot finanšu aktīvus</w:t>
      </w:r>
      <w:r w:rsidRPr="00D1358A">
        <w:rPr>
          <w:rFonts w:ascii="Arial Narrow" w:eastAsia="Arial Narrow" w:hAnsi="Arial Narrow" w:cs="Arial Narrow"/>
          <w:sz w:val="16"/>
          <w:szCs w:val="16"/>
          <w:lang w:val="lv-LV"/>
        </w:rPr>
        <w:t xml:space="preserve">, kas rodas no pārdošanas darījumiem ar saņemšanu atpakaļ nomā, kā aprakstīts šīs piezīmes atsevišķā sadaļā) un aizdevumi saistītajām pusēm, kas ietver vienīgi pamatsummas un procentu maksājumus.  Šī testa nolūkā “pamatsumma” ir definēta kā finanšu aktīva </w:t>
      </w:r>
      <w:r w:rsidRPr="00D1358A">
        <w:rPr>
          <w:rFonts w:ascii="Arial Narrow" w:eastAsia="Arial Narrow" w:hAnsi="Arial Narrow" w:cs="Arial Narrow"/>
          <w:sz w:val="16"/>
          <w:szCs w:val="16"/>
          <w:lang w:val="lv-LV"/>
        </w:rPr>
        <w:t xml:space="preserve">patiesā vērtība sākotnējās atzīšanas brīdī, un tā var mainīties finanšu aktīva darbības laikā (piemēram, ja tiek veikta pamatsummas atmaksa vai prēmijas / diskonta amortizācija). Aizdevuma darījumā visnozīmīgākie procentu elementi parasti ir atlīdzība par </w:t>
      </w:r>
      <w:r w:rsidRPr="00D1358A">
        <w:rPr>
          <w:rFonts w:ascii="Arial Narrow" w:eastAsia="Arial Narrow" w:hAnsi="Arial Narrow" w:cs="Arial Narrow"/>
          <w:sz w:val="16"/>
          <w:szCs w:val="16"/>
          <w:lang w:val="lv-LV"/>
        </w:rPr>
        <w:t>naudas laika vērtību un kredītrisks.</w:t>
      </w:r>
    </w:p>
    <w:p w:rsidR="00C3400D" w:rsidRPr="00D1358A" w:rsidP="00C3400D" w14:paraId="559CEE1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Novērtējot to, vai līgumiskās naudas plūsmas veido SPPI, Koncerns izvērtē konkrētā instrumenta līgumiskos noteikumos. Tas ietver novērtējumu attiecībā uz to, vai finanšu aktīvs ietver līgumisku noteikumu, kas varētu mai</w:t>
      </w:r>
      <w:r w:rsidRPr="00D1358A">
        <w:rPr>
          <w:rFonts w:ascii="Arial Narrow" w:eastAsia="Arial Narrow" w:hAnsi="Arial Narrow" w:cs="Arial Narrow"/>
          <w:sz w:val="16"/>
          <w:szCs w:val="16"/>
          <w:lang w:val="lv-LV"/>
        </w:rPr>
        <w:t>nīt līgumisko naudas plūsmu laiku vai apjomu tādā apmērā, ka tas varētu neatbilst šim nosacījumam. Veicot šo novērtējumu, Koncerns izvērtē galvenokārt:</w:t>
      </w:r>
    </w:p>
    <w:p w:rsidR="00C3400D" w:rsidRPr="00D1358A" w:rsidP="00C3400D" w14:paraId="0067ECB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ārpusbilances notikumus, kas varētu mainīt naudas plūsmu apjomu un laiku;</w:t>
      </w:r>
    </w:p>
    <w:p w:rsidR="00C3400D" w:rsidRPr="00D1358A" w:rsidP="00C3400D" w14:paraId="2DF0C69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priekšlaicīgas atmaksas un</w:t>
      </w:r>
      <w:r w:rsidRPr="00D1358A">
        <w:rPr>
          <w:rFonts w:ascii="Arial Narrow" w:eastAsia="Arial Narrow" w:hAnsi="Arial Narrow" w:cs="Arial Narrow"/>
          <w:sz w:val="16"/>
          <w:szCs w:val="16"/>
          <w:lang w:val="lv-LV"/>
        </w:rPr>
        <w:t xml:space="preserve"> atmaksas termiņa pagarinājuma nosacījumus; un</w:t>
      </w:r>
    </w:p>
    <w:p w:rsidR="00C3400D" w:rsidRPr="00D1358A" w:rsidP="00C3400D" w14:paraId="08FFDC8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nosacījumus, kas ierobežo Koncerna prasījuma tiesības uz naudas plūsmām no konkrētiem aktīviem, (piem., aizdevumi bez prasījuma tiesībām papildus nodrošinājumam).</w:t>
      </w:r>
    </w:p>
    <w:p w:rsidR="00C3400D" w:rsidRPr="00D1358A" w:rsidP="00C3400D" w14:paraId="5ABC4CC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Aizdevuma līgumos ir noteikts, ka saistību n</w:t>
      </w:r>
      <w:r w:rsidRPr="00D1358A">
        <w:rPr>
          <w:rFonts w:ascii="Arial Narrow" w:eastAsia="Arial Narrow" w:hAnsi="Arial Narrow" w:cs="Arial Narrow"/>
          <w:sz w:val="16"/>
          <w:szCs w:val="16"/>
          <w:lang w:val="lv-LV"/>
        </w:rPr>
        <w:t>eizpildes un ķīlas atsavināšanas gadījumā prasības apmērs nav ierobežots pārņemtās ķīlas vērtībā, un, ja ķīlas vērtība nesedz parādsaistību atlikumu, lai kompensētu kredītzaudējumus, no aizņēmēja var pieprasīt papildu resursus. Tāpēc šis aspekts nerada šķē</w:t>
      </w:r>
      <w:r w:rsidRPr="00D1358A">
        <w:rPr>
          <w:rFonts w:ascii="Arial Narrow" w:eastAsia="Arial Narrow" w:hAnsi="Arial Narrow" w:cs="Arial Narrow"/>
          <w:sz w:val="16"/>
          <w:szCs w:val="16"/>
          <w:lang w:val="lv-LV"/>
        </w:rPr>
        <w:t>ršļus SPPI testa izpildei. Atsevišķos gadījumos Koncernam izsniegtiem ar ķīlu nodrošinātiem aizdevumiem Koncerna prasījuma tiesības ir ierobežotas un ietver tikai naudas plūsmas no aizdevuma nodrošinājuma (aizdevumi bez prasījuma tiesībām papildus nodrošin</w:t>
      </w:r>
      <w:r w:rsidRPr="00D1358A">
        <w:rPr>
          <w:rFonts w:ascii="Arial Narrow" w:eastAsia="Arial Narrow" w:hAnsi="Arial Narrow" w:cs="Arial Narrow"/>
          <w:sz w:val="16"/>
          <w:szCs w:val="16"/>
          <w:lang w:val="lv-LV"/>
        </w:rPr>
        <w:t>ājumam). Lai noteiktu, vai šādi aizdevumi atbilst SPPI kritērijam, Koncerns izdara spriedumu. Sprieduma izdarīšanā parasti tiek izvērtēta šāda informācija:</w:t>
      </w:r>
    </w:p>
    <w:p w:rsidR="00C3400D" w:rsidRPr="00D1358A" w:rsidP="00C3400D" w14:paraId="04DA8CC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w:t>
      </w:r>
      <w:r w:rsidRPr="00D1358A">
        <w:rPr>
          <w:rFonts w:ascii="Arial Narrow" w:eastAsia="Arial Narrow" w:hAnsi="Arial Narrow" w:cs="Arial Narrow"/>
          <w:sz w:val="16"/>
          <w:szCs w:val="16"/>
          <w:lang w:val="lv-LV"/>
        </w:rPr>
        <w:tab/>
        <w:t>vai līguma nosacījumos ir konkrēti noteiktas summas un datumi, kuros jāveic aizdevuma maksājumi;</w:t>
      </w:r>
    </w:p>
    <w:p w:rsidR="00C3400D" w:rsidRPr="00D1358A" w:rsidP="00C3400D" w14:paraId="4F571B8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w:t>
      </w:r>
      <w:r w:rsidRPr="00D1358A">
        <w:rPr>
          <w:rFonts w:ascii="Arial Narrow" w:eastAsia="Arial Narrow" w:hAnsi="Arial Narrow" w:cs="Arial Narrow"/>
          <w:sz w:val="16"/>
          <w:szCs w:val="16"/>
          <w:lang w:val="lv-LV"/>
        </w:rPr>
        <w:tab/>
        <w:t xml:space="preserve">ķīlas patiesā vērtība attiecībā pret aizdevuma vērtību; </w:t>
      </w:r>
    </w:p>
    <w:p w:rsidR="00C3400D" w:rsidRPr="00D1358A" w:rsidP="00C3400D" w14:paraId="5BC92D6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w:t>
      </w:r>
      <w:r w:rsidRPr="00D1358A">
        <w:rPr>
          <w:rFonts w:ascii="Arial Narrow" w:eastAsia="Arial Narrow" w:hAnsi="Arial Narrow" w:cs="Arial Narrow"/>
          <w:sz w:val="16"/>
          <w:szCs w:val="16"/>
          <w:lang w:val="lv-LV"/>
        </w:rPr>
        <w:tab/>
        <w:t>aizņēmēja spēja un vēlme veikt līgumā paredzētos maksājumus par spīti ķīlas vērtības samazinājumam;</w:t>
      </w:r>
    </w:p>
    <w:p w:rsidR="00C3400D" w:rsidRPr="00D1358A" w:rsidP="00C3400D" w14:paraId="4FE02DF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w:t>
      </w:r>
      <w:r w:rsidRPr="00D1358A">
        <w:rPr>
          <w:rFonts w:ascii="Arial Narrow" w:eastAsia="Arial Narrow" w:hAnsi="Arial Narrow" w:cs="Arial Narrow"/>
          <w:sz w:val="16"/>
          <w:szCs w:val="16"/>
          <w:lang w:val="lv-LV"/>
        </w:rPr>
        <w:tab/>
        <w:t>Koncerna zaudējumu risks par konkrēto aktīvu salīdzinājumā ar aizdevumu bez prasījuma ierobežo</w:t>
      </w:r>
      <w:r w:rsidRPr="00D1358A">
        <w:rPr>
          <w:rFonts w:ascii="Arial Narrow" w:eastAsia="Arial Narrow" w:hAnsi="Arial Narrow" w:cs="Arial Narrow"/>
          <w:sz w:val="16"/>
          <w:szCs w:val="16"/>
          <w:lang w:val="lv-LV"/>
        </w:rPr>
        <w:t>jumiem; un</w:t>
      </w:r>
    </w:p>
    <w:p w:rsidR="00C3400D" w:rsidRPr="00D1358A" w:rsidP="00C3400D" w14:paraId="66517E7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w:t>
      </w:r>
      <w:r w:rsidRPr="00D1358A">
        <w:rPr>
          <w:rFonts w:ascii="Arial Narrow" w:eastAsia="Arial Narrow" w:hAnsi="Arial Narrow" w:cs="Arial Narrow"/>
          <w:sz w:val="16"/>
          <w:szCs w:val="16"/>
          <w:lang w:val="lv-LV"/>
        </w:rPr>
        <w:tab/>
        <w:t>vai Koncerns gūs labumu no aktīvu vērtības pieauguma.</w:t>
      </w:r>
    </w:p>
    <w:p w:rsidR="00C3400D" w:rsidP="00C3400D" w14:paraId="706C9AC8" w14:textId="5F6D1AC8">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Atbilstoši izdarītajam spriedumam aizdevumi bez prasījuma tiesībām papildus nodrošinājumam, kas ir nodrošināti ar ķīlu, atbilst SPPI kritērijam.</w:t>
      </w:r>
      <w:r w:rsidRPr="00D1358A">
        <w:rPr>
          <w:rFonts w:ascii="Arial Narrow" w:eastAsia="Arial Narrow" w:hAnsi="Arial Narrow" w:cs="Arial Narrow"/>
          <w:sz w:val="16"/>
          <w:szCs w:val="16"/>
          <w:lang w:val="lv-LV"/>
        </w:rPr>
        <w:tab/>
      </w:r>
    </w:p>
    <w:p w:rsidR="00BB2074" w:rsidP="008E47ED" w14:paraId="2661BE16" w14:textId="0EC628FD">
      <w:pPr>
        <w:keepLines/>
        <w:spacing w:after="0"/>
        <w:jc w:val="both"/>
        <w:rPr>
          <w:rFonts w:ascii="Arial Narrow" w:eastAsia="Arial Narrow" w:hAnsi="Arial Narrow" w:cs="Arial Narrow"/>
          <w:sz w:val="16"/>
          <w:szCs w:val="16"/>
          <w:lang w:val="lv-LV"/>
        </w:rPr>
      </w:pPr>
    </w:p>
    <w:p w:rsidR="00BB2074" w:rsidP="008E47ED" w14:paraId="631F20F7" w14:textId="77777777">
      <w:pPr>
        <w:keepLines/>
        <w:spacing w:after="0"/>
        <w:jc w:val="both"/>
        <w:rPr>
          <w:rFonts w:ascii="Arial Narrow" w:eastAsia="Arial Narrow" w:hAnsi="Arial Narrow" w:cs="Arial Narrow"/>
          <w:sz w:val="16"/>
          <w:szCs w:val="16"/>
          <w:lang w:val="lv-LV"/>
        </w:rPr>
      </w:pPr>
    </w:p>
    <w:p w:rsidR="00BB2074" w:rsidRPr="00D1358A" w:rsidP="008E47ED" w14:paraId="5538E6AC" w14:textId="12E7F58F">
      <w:pPr>
        <w:keepLines/>
        <w:spacing w:after="0"/>
        <w:jc w:val="both"/>
        <w:rPr>
          <w:rFonts w:ascii="Arial Narrow" w:eastAsia="Arial Narrow" w:hAnsi="Arial Narrow" w:cs="Arial Narrow"/>
          <w:sz w:val="16"/>
          <w:szCs w:val="16"/>
          <w:lang w:val="lv-LV"/>
        </w:rPr>
        <w:sectPr w:rsidSect="00B05740">
          <w:headerReference w:type="even" r:id="rId42"/>
          <w:headerReference w:type="default" r:id="rId43"/>
          <w:footerReference w:type="even" r:id="rId44"/>
          <w:footerReference w:type="default" r:id="rId45"/>
          <w:headerReference w:type="first" r:id="rId46"/>
          <w:footerReference w:type="first" r:id="rId47"/>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p>
    <w:p w:rsidR="00BB2074" w:rsidRPr="00D1358A" w:rsidP="00BB2074" w14:paraId="1C33556D" w14:textId="77777777">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2. Nozīmīgu grāmatvedī</w:t>
      </w:r>
      <w:r w:rsidRPr="00D1358A">
        <w:rPr>
          <w:rFonts w:ascii="Arial Narrow" w:eastAsia="Arial Narrow" w:hAnsi="Arial Narrow" w:cs="Arial Narrow"/>
          <w:b/>
          <w:bCs/>
          <w:sz w:val="16"/>
          <w:szCs w:val="16"/>
          <w:lang w:val="lv-LV"/>
        </w:rPr>
        <w:t>bas uzskaites principu kopsavilkums (turpinājums)</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A5438E" w:rsidRPr="00D1358A" w:rsidP="00BB2074" w14:paraId="6914BBC5" w14:textId="39346A3F">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d) Svarīgākās grāmatvedības uzskaites politikas (turpinājums)</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E517B9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79344E4"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Iegultie atvasinātie finanšu instrumenti</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07C6A68A" w14:textId="03FE4489">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Koncernam ir noslēgti atsevišķi pārdošanas vai pirkšanas </w:t>
      </w:r>
      <w:r w:rsidRPr="00D1358A">
        <w:rPr>
          <w:rFonts w:ascii="Arial Narrow" w:eastAsia="Arial Narrow" w:hAnsi="Arial Narrow" w:cs="Arial Narrow"/>
          <w:sz w:val="16"/>
          <w:szCs w:val="16"/>
          <w:lang w:val="lv-LV"/>
        </w:rPr>
        <w:t>iespējas līgumi (opcijas), kas var paātrināt emitēto obligāciju atmaksu. Šādas opcijas paredzētas obligāciju (galvenā līguma) prospektā un individuālos līgumos ar obligāciju turētājiem un atbilst iegulta atvasināta instrumenta definīcijai saskaņā ar SFPS N</w:t>
      </w:r>
      <w:r w:rsidRPr="00D1358A">
        <w:rPr>
          <w:rFonts w:ascii="Arial Narrow" w:eastAsia="Arial Narrow" w:hAnsi="Arial Narrow" w:cs="Arial Narrow"/>
          <w:sz w:val="16"/>
          <w:szCs w:val="16"/>
          <w:lang w:val="lv-LV"/>
        </w:rPr>
        <w:t>r. 9. Iegultais atvasinātais finanšu instruments ir hibrīda (kombinēta) instrumenta sastāvdaļa, kas ietver arī neatvasināta instrumenta apkalpošanas līgumu nolūkā, lai atsevišķas hibrīda instrumenta naudas plūsmas mainītos tādā veidā, kas līdzinās autonoma</w:t>
      </w:r>
      <w:r w:rsidRPr="00D1358A">
        <w:rPr>
          <w:rFonts w:ascii="Arial Narrow" w:eastAsia="Arial Narrow" w:hAnsi="Arial Narrow" w:cs="Arial Narrow"/>
          <w:sz w:val="16"/>
          <w:szCs w:val="16"/>
          <w:lang w:val="lv-LV"/>
        </w:rPr>
        <w:t xml:space="preserve"> atvasinājuma naudas plūsmām. Iegultie atvasinājumi izraisa zināma vai visu veidu naudas plūsmas rašanos, kuras citos apstākļos līgumos būtu paredzēts mainīt saskaņā ar noteiktu procentu likmi, finanšu instrumenta cenu, preču cenu, ārvalstu valūtu maiņas k</w:t>
      </w:r>
      <w:r w:rsidRPr="00D1358A">
        <w:rPr>
          <w:rFonts w:ascii="Arial Narrow" w:eastAsia="Arial Narrow" w:hAnsi="Arial Narrow" w:cs="Arial Narrow"/>
          <w:sz w:val="16"/>
          <w:szCs w:val="16"/>
          <w:lang w:val="lv-LV"/>
        </w:rPr>
        <w:t>ursu, cenu maksājumu indeksu, kredītu reitingu vai kredītu indeksu vai citu mainīgu faktoru, ar nosacījumu, ka nefinanšu mainīgā gadījumā šis mainīgais nav īpaši attiecināms uz kādu līgumu slēdzošo pusi. Atvasinātais finanšu instruments, kas ir piesaistīts</w:t>
      </w:r>
      <w:r w:rsidRPr="00D1358A">
        <w:rPr>
          <w:rFonts w:ascii="Arial Narrow" w:eastAsia="Arial Narrow" w:hAnsi="Arial Narrow" w:cs="Arial Narrow"/>
          <w:sz w:val="16"/>
          <w:szCs w:val="16"/>
          <w:lang w:val="lv-LV"/>
        </w:rPr>
        <w:t xml:space="preserve"> finanšu instrumentam, bet saskaņā ar līgumu ir pārvedams neatkarīgi no instrumenta, nav iegultais atvasinātais finanšu instruments, bet atsevišķs finanšu instruments. Iegultos atvasinātos finanšu instrumentus uzskaita atsevišķi no galvenā līguma, ja:</w:t>
      </w:r>
    </w:p>
    <w:p w:rsidR="00A5438E" w:rsidRPr="00D1358A" w:rsidP="008E47ED" w14:paraId="6AEFA91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ga</w:t>
      </w:r>
      <w:r w:rsidRPr="00D1358A">
        <w:rPr>
          <w:rFonts w:ascii="Arial Narrow" w:eastAsia="Arial Narrow" w:hAnsi="Arial Narrow" w:cs="Arial Narrow"/>
          <w:sz w:val="16"/>
          <w:szCs w:val="16"/>
          <w:lang w:val="lv-LV"/>
        </w:rPr>
        <w:t>lvenais līgums nav aktīvs, kam piemērojamas SPFS Nr. 9 prasības;</w:t>
      </w:r>
    </w:p>
    <w:p w:rsidR="00A5438E" w:rsidRPr="00D1358A" w:rsidP="008E47ED" w14:paraId="0736B09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galvenais līgums nav novērtēts patiesajā vērtībā ar atspoguļojumu peļņas vai zaudējumu aprēķinā;</w:t>
      </w:r>
    </w:p>
    <w:p w:rsidR="00A5438E" w:rsidRPr="00D1358A" w:rsidP="008E47ED" w14:paraId="58219DF2"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iegultā atvasinātā finanšu instrumenta nosacījumi atbilstu atvasinātie finanšu instrumenta</w:t>
      </w:r>
      <w:r w:rsidRPr="00D1358A">
        <w:rPr>
          <w:rFonts w:ascii="Arial Narrow" w:eastAsia="Arial Narrow" w:hAnsi="Arial Narrow" w:cs="Arial Narrow"/>
          <w:sz w:val="16"/>
          <w:szCs w:val="16"/>
          <w:lang w:val="lv-LV"/>
        </w:rPr>
        <w:t xml:space="preserve"> definīcijai, ja tas būtu ietverts atsevišķā līgumā; un</w:t>
      </w:r>
    </w:p>
    <w:p w:rsidR="00A5438E" w:rsidRPr="00D1358A" w:rsidP="008E47ED" w14:paraId="1CB527E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iegultā atvasinātā finanšu instrumenta ekonomiskās iezīmes un riski nav cieši saistīti ar galvenā līguma ekonomiskajām iezīmēm un riskiem.</w:t>
      </w:r>
    </w:p>
    <w:p w:rsidR="00A5438E" w:rsidRPr="00D1358A" w:rsidP="008E47ED" w14:paraId="40E7E713" w14:textId="15BA0732">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Nodalītos iegultos atvasinātos finanšu instrumentus novērtē patiesajā vērtībā un visas izmaiņas patiesajā vērtībā atzīst peļņas vai zaudējumu aprēķinā (izņemot, ja tie tiek izmantoti naudas plūsmas vai neto ieguldījumu riska ierobežošanai) un uzrāda finanš</w:t>
      </w:r>
      <w:r w:rsidRPr="00D1358A">
        <w:rPr>
          <w:rFonts w:ascii="Arial Narrow" w:eastAsia="Arial Narrow" w:hAnsi="Arial Narrow" w:cs="Arial Narrow"/>
          <w:sz w:val="16"/>
          <w:szCs w:val="16"/>
          <w:lang w:val="lv-LV"/>
        </w:rPr>
        <w:t>u stāvokļa pārskatā kopā ar galveno līgumu. Koncernam ir atvasinātie finanšu instrumenti, kas iegulti finanšu saistību un nefinanšu galvenajos līgumos. Finanšu aktīvi tiek klasificēti atkarībā no biznesa modeļa un atbilstības SPPI kritērijam, kā izklāstīts</w:t>
      </w:r>
      <w:r w:rsidRPr="00D1358A">
        <w:rPr>
          <w:rFonts w:ascii="Arial Narrow" w:eastAsia="Arial Narrow" w:hAnsi="Arial Narrow" w:cs="Arial Narrow"/>
          <w:sz w:val="16"/>
          <w:szCs w:val="16"/>
          <w:lang w:val="lv-LV"/>
        </w:rPr>
        <w:t xml:space="preserve"> iepriekš. Lūdzu, skatīt 3. piezīmi, kurā sniegta papildu informācija par iegultiem finanšu instrumentiem un to nošķiršanas apsvērumiem.</w:t>
      </w:r>
    </w:p>
    <w:p w:rsidR="00C3400D" w:rsidP="00C3400D" w14:paraId="4D9A1C9F" w14:textId="77777777">
      <w:pPr>
        <w:keepLines/>
        <w:spacing w:after="0"/>
        <w:jc w:val="both"/>
        <w:rPr>
          <w:rFonts w:ascii="Arial Narrow" w:eastAsia="Arial Narrow" w:hAnsi="Arial Narrow" w:cs="Arial Narrow"/>
          <w:b/>
          <w:bCs/>
          <w:i/>
          <w:iCs/>
          <w:sz w:val="16"/>
          <w:szCs w:val="16"/>
          <w:lang w:val="lv-LV"/>
        </w:rPr>
      </w:pPr>
    </w:p>
    <w:p w:rsidR="00C3400D" w:rsidRPr="00D1358A" w:rsidP="00C3400D" w14:paraId="08AF5E7D" w14:textId="445009F0">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Finanšu instrumentu pārklasifikācija</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C3400D" w:rsidRPr="00D1358A" w:rsidP="00C3400D" w14:paraId="4AC8950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Koncerns savus finanšu aktīvus vairs nepārklasificē pēc to sākotnējās at</w:t>
      </w:r>
      <w:r w:rsidRPr="00D1358A">
        <w:rPr>
          <w:rFonts w:ascii="Arial Narrow" w:eastAsia="Arial Narrow" w:hAnsi="Arial Narrow" w:cs="Arial Narrow"/>
          <w:sz w:val="16"/>
          <w:szCs w:val="16"/>
          <w:lang w:val="lv-LV"/>
        </w:rPr>
        <w:t>zīšanas, izņemot īpašos apstākļos, kad Koncerns iegādājas, atsavina vai izbeidz kādu darbības virzienu.</w:t>
      </w:r>
    </w:p>
    <w:p w:rsidR="00C3400D" w:rsidRPr="00D1358A" w:rsidP="00C3400D" w14:paraId="0C0A59E2" w14:textId="2C48D0D6">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Finanšu saistības nekad netiek pārklasificētas. 2021. un 2020. gadā Koncerns nebija pārklasificējis savus finanšu aktīvus vai saistības.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C3400D" w:rsidRPr="00D1358A" w:rsidP="00C3400D" w14:paraId="0426DDE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C3400D" w:rsidRPr="00D1358A" w:rsidP="00C3400D" w14:paraId="621B1C7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Fin</w:t>
      </w:r>
      <w:r w:rsidRPr="00D1358A">
        <w:rPr>
          <w:rFonts w:ascii="Arial Narrow" w:eastAsia="Arial Narrow" w:hAnsi="Arial Narrow" w:cs="Arial Narrow"/>
          <w:b/>
          <w:bCs/>
          <w:i/>
          <w:iCs/>
          <w:sz w:val="16"/>
          <w:szCs w:val="16"/>
          <w:lang w:val="lv-LV"/>
        </w:rPr>
        <w:t>anšu aktīvu un saistību un no finanšu nomas izrietošo prasību atzīšanas pārtraukšana</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C3400D" w:rsidRPr="00D1358A" w:rsidP="00C3400D" w14:paraId="451EDFC3"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Turpmāk aprakstītie atzīšanas pārtraukšanas nosacījumi ir piemērojami visiem amortizētajās iegādes izmaksās novērtētajiem finanšu aktīviem.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C3400D" w:rsidRPr="00D1358A" w:rsidP="00C3400D" w14:paraId="4C7B04F8"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Atzīšanas</w:t>
      </w:r>
      <w:r w:rsidRPr="00D1358A">
        <w:rPr>
          <w:rFonts w:ascii="Arial Narrow" w:eastAsia="Arial Narrow" w:hAnsi="Arial Narrow" w:cs="Arial Narrow"/>
          <w:i/>
          <w:iCs/>
          <w:sz w:val="16"/>
          <w:szCs w:val="16"/>
          <w:lang w:val="lv-LV"/>
        </w:rPr>
        <w:t xml:space="preserve"> pārtraukšana būtisku nosacījumu izmaiņu dēļ</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C3400D" w:rsidRPr="00D1358A" w:rsidP="00C3400D" w14:paraId="267A82B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Koncerns pārtrauc atzīt finanšu aktīvu, piemēram, kredītu un izsniegtu avansu vai no finanšu nomas izrietošās prasības, ja attiecīgā līguma nosacījumi mainīti tika lielā mērā, ka tas būtībā pārvērties p</w:t>
      </w:r>
      <w:r w:rsidRPr="00D1358A">
        <w:rPr>
          <w:rFonts w:ascii="Arial Narrow" w:eastAsia="Arial Narrow" w:hAnsi="Arial Narrow" w:cs="Arial Narrow"/>
          <w:sz w:val="16"/>
          <w:szCs w:val="16"/>
          <w:lang w:val="lv-LV"/>
        </w:rPr>
        <w:t>ar jaunu aizdevuma vai nomas līgumu; radušās starpības tiek atzītas kā peļņa vai zaudējumi no atzīšanas pārtraukšanas, ja jau nav atzīti zaudējumi no vērtības samazināšanās. No jauna atzītie aizdevumi paredzamo kredītu zaudējumu novērtēšanas nolūkā tiek kl</w:t>
      </w:r>
      <w:r w:rsidRPr="00D1358A">
        <w:rPr>
          <w:rFonts w:ascii="Arial Narrow" w:eastAsia="Arial Narrow" w:hAnsi="Arial Narrow" w:cs="Arial Narrow"/>
          <w:sz w:val="16"/>
          <w:szCs w:val="16"/>
          <w:lang w:val="lv-LV"/>
        </w:rPr>
        <w:t>asificēti 1. stadijas kategorijā, ja vien jaunais aizdevums vai noma netiek uzskatīta kā pirkta vai iniciēta ar samazinātu kredītvērtību (POCI).</w:t>
      </w:r>
    </w:p>
    <w:p w:rsidR="00C3400D" w:rsidRPr="00D1358A" w:rsidP="00C3400D" w14:paraId="44F5CAE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Izvērtējot, vai pārtraukt finanšu aktīva atzīšanu vai nē, Koncerns novērtē, vai modificētā aktīva naudas plūsma</w:t>
      </w:r>
      <w:r w:rsidRPr="00D1358A">
        <w:rPr>
          <w:rFonts w:ascii="Arial Narrow" w:eastAsia="Arial Narrow" w:hAnsi="Arial Narrow" w:cs="Arial Narrow"/>
          <w:sz w:val="16"/>
          <w:szCs w:val="16"/>
          <w:lang w:val="lv-LV"/>
        </w:rPr>
        <w:t>s ir būtiski atšķirīgas, un apsver šādus kvalitatīvos faktorus:</w:t>
      </w:r>
    </w:p>
    <w:p w:rsidR="00C3400D" w:rsidRPr="00D1358A" w:rsidP="00C3400D" w14:paraId="2474BAC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Aizdevuma valūtas maiņa</w:t>
      </w:r>
    </w:p>
    <w:p w:rsidR="00C3400D" w:rsidRPr="00D1358A" w:rsidP="00C3400D" w14:paraId="2D2E687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Darījuma partnera maiņa</w:t>
      </w:r>
    </w:p>
    <w:p w:rsidR="00C3400D" w:rsidRPr="00D1358A" w:rsidP="00C3400D" w14:paraId="686A86F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Izmaiņu rezultātā instruments vairs neatbilst SPPI kritērijam</w:t>
      </w:r>
    </w:p>
    <w:p w:rsidR="00C3400D" w:rsidRPr="00D1358A" w:rsidP="00C3400D" w14:paraId="59C823C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Vai ir dzēstas juridiskās saistības.</w:t>
      </w:r>
    </w:p>
    <w:p w:rsidR="00C3400D" w:rsidP="00C3400D" w14:paraId="0E27B7C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Turklāt attiecībā uz kredītiem avan</w:t>
      </w:r>
      <w:r w:rsidRPr="00D1358A">
        <w:rPr>
          <w:rFonts w:ascii="Arial Narrow" w:eastAsia="Arial Narrow" w:hAnsi="Arial Narrow" w:cs="Arial Narrow"/>
          <w:sz w:val="16"/>
          <w:szCs w:val="16"/>
          <w:lang w:val="lv-LV"/>
        </w:rPr>
        <w:t>siem un no finanšu nomas izrietošajām prasībām Koncerns īpaši izvērtē veikto izmaiņu nolūku, lai palielinātu nomas termiņu. Tiek izvērtēts, vai izmaiņas ir veiktas komerciālu iemeslu dēl pēc klienta ierosinājuma vai kredīta restrukturizācijas dēļ. Vadība i</w:t>
      </w:r>
      <w:r w:rsidRPr="00D1358A">
        <w:rPr>
          <w:rFonts w:ascii="Arial Narrow" w:eastAsia="Arial Narrow" w:hAnsi="Arial Narrow" w:cs="Arial Narrow"/>
          <w:sz w:val="16"/>
          <w:szCs w:val="16"/>
          <w:lang w:val="lv-LV"/>
        </w:rPr>
        <w:t>r veikusi analīzi tām izmaiņām, kuras ir veiktas komerciālu iemeslu dēļ, un ir secinājusi, ka šādas izmaiņas rada būtiskas nosacījumu izmaiņas. Tas atbilst izmaiņu mērķim, kas ir radīt jaunu aktīvu ar būtiski atšķirīgiem nosacījumiem. Ja pirms izmaiņu veik</w:t>
      </w:r>
      <w:r w:rsidRPr="00D1358A">
        <w:rPr>
          <w:rFonts w:ascii="Arial Narrow" w:eastAsia="Arial Narrow" w:hAnsi="Arial Narrow" w:cs="Arial Narrow"/>
          <w:sz w:val="16"/>
          <w:szCs w:val="16"/>
          <w:lang w:val="lv-LV"/>
        </w:rPr>
        <w:t>šanas darījuma puses DPD rādītājs (kavēto dienu skaitu) ir mazāks par 5 un finanšu aktīva iezīmes tiek būtiski mainītas (piem., vidēji finanšu aktīva termiņš pieaug par vairākiem gadiem, kas būtiski maina aktīva termiņstruktūru), tiek uzskatīts, ka šīs izm</w:t>
      </w:r>
      <w:r w:rsidRPr="00D1358A">
        <w:rPr>
          <w:rFonts w:ascii="Arial Narrow" w:eastAsia="Arial Narrow" w:hAnsi="Arial Narrow" w:cs="Arial Narrow"/>
          <w:sz w:val="16"/>
          <w:szCs w:val="16"/>
          <w:lang w:val="lv-LV"/>
        </w:rPr>
        <w:t>aiņas tiek veiktas komerciālu iemeslu dēļ un to rezultātā sākotnējās nomas/aizdevuma atzīšana tiek pārtraukta.</w:t>
      </w:r>
    </w:p>
    <w:p w:rsidR="00C3400D" w:rsidP="00C3400D" w14:paraId="1840F3F0" w14:textId="77777777">
      <w:pPr>
        <w:keepLines/>
        <w:spacing w:after="0"/>
        <w:jc w:val="both"/>
        <w:rPr>
          <w:rFonts w:ascii="Arial Narrow" w:eastAsia="Arial Narrow" w:hAnsi="Arial Narrow" w:cs="Arial Narrow"/>
          <w:sz w:val="16"/>
          <w:szCs w:val="16"/>
          <w:lang w:val="lv-LV"/>
        </w:rPr>
      </w:pPr>
    </w:p>
    <w:p w:rsidR="00C3400D" w:rsidRPr="00D1358A" w:rsidP="00C3400D" w14:paraId="0EDAEF92"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Citas izmaiņas līgumu nosacījumos tiek uzskatītas par izmaiņām, kuru rezultātā netiek pārtraukta aktīva atzīšana (skat. sadaļu “Izmaiņas” zemāk)</w:t>
      </w:r>
      <w:r w:rsidRPr="00D1358A">
        <w:rPr>
          <w:rFonts w:ascii="Arial Narrow" w:eastAsia="Arial Narrow" w:hAnsi="Arial Narrow" w:cs="Arial Narrow"/>
          <w:sz w:val="16"/>
          <w:szCs w:val="16"/>
          <w:lang w:val="lv-LV"/>
        </w:rPr>
        <w:t>.</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C3400D" w:rsidRPr="00D1358A" w:rsidP="00C3400D" w14:paraId="00255C0E"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C3400D" w:rsidRPr="00D1358A" w:rsidP="00C3400D" w14:paraId="3449386A"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Atzīšanas pārtraukšana citu iemeslu dēļ, izņemot būtiskas nosacījumu izmaiņas</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C3400D" w:rsidRPr="00D1358A" w:rsidP="00C3400D" w14:paraId="7805FE3E"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Finanšu aktīva vai no finanšu nomas izrietošu prasību (vai atkarībā no apstākļiem finanšu aktīva vai no finanšu nomas izrietošas prasības daļas vai līdz</w:t>
      </w:r>
      <w:r w:rsidRPr="00D1358A">
        <w:rPr>
          <w:rFonts w:ascii="Arial Narrow" w:eastAsia="Arial Narrow" w:hAnsi="Arial Narrow" w:cs="Arial Narrow"/>
          <w:sz w:val="16"/>
          <w:szCs w:val="16"/>
          <w:lang w:val="lv-LV"/>
        </w:rPr>
        <w:t>īgu finanšu aktīvu vai no finanšu nomas izrietošu prasību grupas daļas) atzīšana tiek pārtraukta, kad beidzas tiesības uz naudas plūsmām no attiecīgā finanšu aktīva vai no finanšu nomas izrietošo prasību posteņa. Finanšu aktīvu vai no finanšu nomas izrieto</w:t>
      </w:r>
      <w:r w:rsidRPr="00D1358A">
        <w:rPr>
          <w:rFonts w:ascii="Arial Narrow" w:eastAsia="Arial Narrow" w:hAnsi="Arial Narrow" w:cs="Arial Narrow"/>
          <w:sz w:val="16"/>
          <w:szCs w:val="16"/>
          <w:lang w:val="lv-LV"/>
        </w:rPr>
        <w:t>šu prasību atzīšanu Koncerns pārtrauc arī tādā gadījumā, ja tas nodevis finanšu aktīvu un nodošana atbilst atzīšanas pārtraukšanas kritērijiem.</w:t>
      </w:r>
    </w:p>
    <w:p w:rsidR="00C3400D" w:rsidRPr="00D1358A" w:rsidP="00C3400D" w14:paraId="18F7808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Finanšu aktīvu vai no finanšu nomas izrietošas prasības Koncerns ir nodevis, ja Koncerns ir nodevis savas līgumā</w:t>
      </w:r>
      <w:r w:rsidRPr="00D1358A">
        <w:rPr>
          <w:rFonts w:ascii="Arial Narrow" w:eastAsia="Arial Narrow" w:hAnsi="Arial Narrow" w:cs="Arial Narrow"/>
          <w:sz w:val="16"/>
          <w:szCs w:val="16"/>
          <w:lang w:val="lv-LV"/>
        </w:rPr>
        <w:t xml:space="preserve"> noteiktās tiesības uz naudas plūsmām no finanšu aktīva vai no finanšu nomas izrietošajām prasībām.</w:t>
      </w:r>
    </w:p>
    <w:p w:rsidR="00C3400D" w:rsidRPr="00D1358A" w:rsidP="00C3400D" w14:paraId="6A0B1D4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C3400D" w:rsidRPr="00D1358A" w:rsidP="00C3400D" w14:paraId="476E086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Koncerns ir nodevis aktīvu tikai tādā gadījumā, ja tas:</w:t>
      </w:r>
    </w:p>
    <w:p w:rsidR="00C3400D" w:rsidRPr="00D1358A" w:rsidP="00C3400D" w14:paraId="63451D53"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ir nodevis savas līgumiskās tiesības saņemt naudas plūsmas no šī aktīva;</w:t>
      </w:r>
    </w:p>
    <w:p w:rsidR="001F39FC" w:rsidP="00C3400D" w14:paraId="7BDF6E12" w14:textId="6D82E50C">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sz w:val="16"/>
          <w:szCs w:val="16"/>
          <w:lang w:val="lv-LV"/>
        </w:rPr>
        <w:t>- saglabā tiesī</w:t>
      </w:r>
      <w:r w:rsidRPr="00D1358A">
        <w:rPr>
          <w:rFonts w:ascii="Arial Narrow" w:eastAsia="Arial Narrow" w:hAnsi="Arial Narrow" w:cs="Arial Narrow"/>
          <w:sz w:val="16"/>
          <w:szCs w:val="16"/>
          <w:lang w:val="lv-LV"/>
        </w:rPr>
        <w:t>bas uz naudas plūsmām no finanšu aktīva, bet ir uzņēmies pienākumu veikt visu saņemto naudas plūsmu, kuras tas iekasē kādu trešo personu vārdā, pārskaitījumus bez būtiskas kavēšanās (“tranzīta pārskaitījumi”).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C3400D" w:rsidP="008E47ED" w14:paraId="0C3FDA89" w14:textId="77777777">
      <w:pPr>
        <w:keepLines/>
        <w:spacing w:after="0"/>
        <w:jc w:val="both"/>
        <w:rPr>
          <w:rFonts w:ascii="Arial Narrow" w:eastAsia="Arial Narrow" w:hAnsi="Arial Narrow" w:cs="Arial Narrow"/>
          <w:b/>
          <w:bCs/>
          <w:sz w:val="16"/>
          <w:szCs w:val="16"/>
          <w:lang w:val="lv-LV"/>
        </w:rPr>
      </w:pPr>
    </w:p>
    <w:p w:rsidR="00C3400D" w:rsidRPr="00D1358A" w:rsidP="008E47ED" w14:paraId="21BACCE1" w14:textId="458EA43F">
      <w:pPr>
        <w:keepLines/>
        <w:spacing w:after="0"/>
        <w:jc w:val="both"/>
        <w:rPr>
          <w:rFonts w:ascii="Arial Narrow" w:eastAsia="Arial Narrow" w:hAnsi="Arial Narrow" w:cs="Arial Narrow"/>
          <w:b/>
          <w:bCs/>
          <w:sz w:val="16"/>
          <w:szCs w:val="16"/>
          <w:lang w:val="lv-LV"/>
        </w:rPr>
        <w:sectPr w:rsidSect="00B05740">
          <w:headerReference w:type="even" r:id="rId48"/>
          <w:headerReference w:type="default" r:id="rId49"/>
          <w:footerReference w:type="even" r:id="rId50"/>
          <w:footerReference w:type="default" r:id="rId51"/>
          <w:headerReference w:type="first" r:id="rId52"/>
          <w:footerReference w:type="first" r:id="rId53"/>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p>
    <w:p w:rsidR="00A5438E" w:rsidRPr="00D1358A" w:rsidP="008E47ED" w14:paraId="1B98A935" w14:textId="3D69DFC8">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sz w:val="16"/>
          <w:szCs w:val="16"/>
          <w:lang w:val="lv-LV"/>
        </w:rPr>
        <w:t xml:space="preserve">2. Nozīmīgu </w:t>
      </w:r>
      <w:r w:rsidRPr="00D1358A">
        <w:rPr>
          <w:rFonts w:ascii="Arial Narrow" w:eastAsia="Arial Narrow" w:hAnsi="Arial Narrow" w:cs="Arial Narrow"/>
          <w:b/>
          <w:bCs/>
          <w:sz w:val="16"/>
          <w:szCs w:val="16"/>
          <w:lang w:val="lv-LV"/>
        </w:rPr>
        <w:t>grāmatvedības uzskaites principu kopsavilkums (turpinājums</w:t>
      </w:r>
      <w:r w:rsidRPr="00D1358A">
        <w:rPr>
          <w:rFonts w:ascii="Arial Narrow" w:eastAsia="Arial Narrow" w:hAnsi="Arial Narrow" w:cs="Arial Narrow"/>
          <w:b/>
          <w:bCs/>
          <w:i/>
          <w:iCs/>
          <w:sz w:val="16"/>
          <w:szCs w:val="16"/>
          <w:lang w:val="lv-LV"/>
        </w:rPr>
        <w:t>)</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7BF4F652" w14:textId="3C3260B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d) Svarīgākās grāmatvedības uzskaites politikas (turpinājums)</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2DC6CAA3" w14:textId="53EFEB9D">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Finanšu aktīvu un saistību un no finanšu nomas izrietošo prasību atzīšanas pārtraukšana</w:t>
      </w:r>
      <w:r>
        <w:rPr>
          <w:rFonts w:ascii="Arial Narrow" w:eastAsia="Arial Narrow" w:hAnsi="Arial Narrow" w:cs="Arial Narrow"/>
          <w:b/>
          <w:bCs/>
          <w:i/>
          <w:iCs/>
          <w:sz w:val="16"/>
          <w:szCs w:val="16"/>
          <w:lang w:val="lv-LV"/>
        </w:rPr>
        <w:t xml:space="preserve"> (turpinājums)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sidR="00997916">
        <w:rPr>
          <w:rFonts w:ascii="Arial Narrow" w:eastAsia="Arial Narrow" w:hAnsi="Arial Narrow" w:cs="Arial Narrow"/>
          <w:sz w:val="16"/>
          <w:szCs w:val="16"/>
          <w:lang w:val="lv-LV"/>
        </w:rPr>
        <w:tab/>
      </w:r>
      <w:r w:rsidRPr="00D1358A" w:rsidR="00997916">
        <w:rPr>
          <w:rFonts w:ascii="Arial Narrow" w:eastAsia="Arial Narrow" w:hAnsi="Arial Narrow" w:cs="Arial Narrow"/>
          <w:sz w:val="16"/>
          <w:szCs w:val="16"/>
          <w:lang w:val="lv-LV"/>
        </w:rPr>
        <w:tab/>
      </w:r>
      <w:r w:rsidRPr="00D1358A" w:rsidR="00997916">
        <w:rPr>
          <w:rFonts w:ascii="Arial Narrow" w:eastAsia="Arial Narrow" w:hAnsi="Arial Narrow" w:cs="Arial Narrow"/>
          <w:sz w:val="16"/>
          <w:szCs w:val="16"/>
          <w:lang w:val="lv-LV"/>
        </w:rPr>
        <w:tab/>
      </w:r>
      <w:r w:rsidRPr="00D1358A" w:rsidR="00997916">
        <w:rPr>
          <w:rFonts w:ascii="Arial Narrow" w:eastAsia="Arial Narrow" w:hAnsi="Arial Narrow" w:cs="Arial Narrow"/>
          <w:sz w:val="16"/>
          <w:szCs w:val="16"/>
          <w:lang w:val="lv-LV"/>
        </w:rPr>
        <w:tab/>
      </w:r>
      <w:r w:rsidRPr="00D1358A" w:rsidR="00997916">
        <w:rPr>
          <w:rFonts w:ascii="Arial Narrow" w:eastAsia="Arial Narrow" w:hAnsi="Arial Narrow" w:cs="Arial Narrow"/>
          <w:sz w:val="16"/>
          <w:szCs w:val="16"/>
          <w:lang w:val="lv-LV"/>
        </w:rPr>
        <w:tab/>
      </w:r>
      <w:r w:rsidRPr="00D1358A" w:rsidR="00997916">
        <w:rPr>
          <w:rFonts w:ascii="Arial Narrow" w:eastAsia="Arial Narrow" w:hAnsi="Arial Narrow" w:cs="Arial Narrow"/>
          <w:sz w:val="16"/>
          <w:szCs w:val="16"/>
          <w:lang w:val="lv-LV"/>
        </w:rPr>
        <w:tab/>
      </w:r>
      <w:r w:rsidRPr="00D1358A" w:rsidR="00997916">
        <w:rPr>
          <w:rFonts w:ascii="Arial Narrow" w:eastAsia="Arial Narrow" w:hAnsi="Arial Narrow" w:cs="Arial Narrow"/>
          <w:sz w:val="16"/>
          <w:szCs w:val="16"/>
          <w:lang w:val="lv-LV"/>
        </w:rPr>
        <w:tab/>
      </w:r>
      <w:r w:rsidRPr="00D1358A" w:rsidR="00997916">
        <w:rPr>
          <w:rFonts w:ascii="Arial Narrow" w:eastAsia="Arial Narrow" w:hAnsi="Arial Narrow" w:cs="Arial Narrow"/>
          <w:sz w:val="16"/>
          <w:szCs w:val="16"/>
          <w:lang w:val="lv-LV"/>
        </w:rPr>
        <w:tab/>
      </w:r>
      <w:r w:rsidRPr="00D1358A" w:rsidR="00997916">
        <w:rPr>
          <w:rFonts w:ascii="Arial Narrow" w:eastAsia="Arial Narrow" w:hAnsi="Arial Narrow" w:cs="Arial Narrow"/>
          <w:sz w:val="16"/>
          <w:szCs w:val="16"/>
          <w:lang w:val="lv-LV"/>
        </w:rPr>
        <w:tab/>
      </w:r>
    </w:p>
    <w:p w:rsidR="00A5438E" w:rsidRPr="00D1358A" w:rsidP="008E47ED" w14:paraId="3E589E7D" w14:textId="362EDB99">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Citas izmaiņas līgumu nosacījumos tiek uzskatītas par izmaiņām, kuru rezultātā netiek pārtraukta aktīva atzīšana (skat. sadaļu “Izmaiņas” zemāk).</w:t>
      </w:r>
      <w:r w:rsidRPr="00D1358A">
        <w:rPr>
          <w:rFonts w:ascii="Arial Narrow" w:eastAsia="Arial Narrow" w:hAnsi="Arial Narrow" w:cs="Arial Narrow"/>
          <w:sz w:val="16"/>
          <w:szCs w:val="16"/>
          <w:lang w:val="lv-LV"/>
        </w:rPr>
        <w:tab/>
      </w:r>
    </w:p>
    <w:p w:rsidR="00A5438E" w:rsidRPr="00D1358A" w:rsidP="008E47ED" w14:paraId="68C501FE"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8EA4C48"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Atzīšanas pārtraukšana citu iemeslu dēļ, izņemot būtiskas nosacījumu izmaiņas</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7F7D4C48" w14:textId="5372EBC3">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Finanšu aktīva vai no finanšu nomas izrietošu prasību (vai atkarībā no apstākļiem finanšu aktīva vai no finanšu nomas izrietošas prasības daļas vai līdzīgu finanšu aktīvu vai no finanšu nomas izrietošu prasību grupas daļas) atzīšana tiek pārtraukta, kad be</w:t>
      </w:r>
      <w:r w:rsidRPr="00D1358A">
        <w:rPr>
          <w:rFonts w:ascii="Arial Narrow" w:eastAsia="Arial Narrow" w:hAnsi="Arial Narrow" w:cs="Arial Narrow"/>
          <w:sz w:val="16"/>
          <w:szCs w:val="16"/>
          <w:lang w:val="lv-LV"/>
        </w:rPr>
        <w:t>idzas tiesības uz naudas plūsmām no attiecīgā finanšu aktīva vai no finanšu nomas izrietošo prasību posteņa. Finanšu aktīvu vai no finanšu nomas izrietošu prasību atzīšanu Koncerns pārtrauc arī tādā gadījumā, ja tas nodevis finanšu aktīvu un nodošana atbil</w:t>
      </w:r>
      <w:r w:rsidRPr="00D1358A">
        <w:rPr>
          <w:rFonts w:ascii="Arial Narrow" w:eastAsia="Arial Narrow" w:hAnsi="Arial Narrow" w:cs="Arial Narrow"/>
          <w:sz w:val="16"/>
          <w:szCs w:val="16"/>
          <w:lang w:val="lv-LV"/>
        </w:rPr>
        <w:t>st atzīšanas pārtraukšanas kritērijiem.</w:t>
      </w:r>
    </w:p>
    <w:p w:rsidR="00A5438E" w:rsidRPr="00D1358A" w:rsidP="002810E8" w14:paraId="1D4BF32E" w14:textId="69EED0B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Finanšu aktīvu vai no finanšu nomas izrietošas prasības Koncerns ir nodevis, ja Koncerns ir nodevis savas līgumā noteiktās tiesības uz naudas plūsmām no finanšu aktīva vai no finanšu nomas izrietošajām prasībām.</w:t>
      </w:r>
    </w:p>
    <w:p w:rsidR="00A5438E" w:rsidRPr="00D1358A" w:rsidP="008E47ED" w14:paraId="05BCF53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D182017" w14:textId="09C9FD96">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Koncerns ir nodevis aktīvu tikai tādā gadījumā, ja tas:</w:t>
      </w:r>
    </w:p>
    <w:p w:rsidR="00A5438E" w:rsidRPr="00D1358A" w:rsidP="008E47ED" w14:paraId="6193D56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ir nodevis savas līgumiskās tiesības saņemt naudas plūsmas no šī aktīva;</w:t>
      </w:r>
    </w:p>
    <w:p w:rsidR="00A5438E" w:rsidRPr="00D1358A" w:rsidP="008E47ED" w14:paraId="7F6F3326" w14:textId="3EAB5632">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saglabā tiesības uz naudas plūsmām no finanšu aktīva, bet ir uzņēmies pienākumu veikt visu saņemto naudas plūsmu, kur</w:t>
      </w:r>
      <w:r w:rsidRPr="00D1358A">
        <w:rPr>
          <w:rFonts w:ascii="Arial Narrow" w:eastAsia="Arial Narrow" w:hAnsi="Arial Narrow" w:cs="Arial Narrow"/>
          <w:sz w:val="16"/>
          <w:szCs w:val="16"/>
          <w:lang w:val="lv-LV"/>
        </w:rPr>
        <w:t>as tas iekasē kādu trešo personu vārdā, pārskaitījumus bez būtiskas kavēšanās (“tranzīta pārskaitījumi”).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92EAB02"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E636137" w14:textId="41D71BF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“Tranzīta pārskaitījumi” ir darījumi, kad Koncerns saglabā līgumā paredzētās tiesības uz finanšu aktīva posteņa (“sākotnējā aktīva po</w:t>
      </w:r>
      <w:r w:rsidRPr="00D1358A">
        <w:rPr>
          <w:rFonts w:ascii="Arial Narrow" w:eastAsia="Arial Narrow" w:hAnsi="Arial Narrow" w:cs="Arial Narrow"/>
          <w:sz w:val="16"/>
          <w:szCs w:val="16"/>
          <w:lang w:val="lv-LV"/>
        </w:rPr>
        <w:t>steņa”) naudas plūsmu, bet uzņemas līgumā paredzētas saistības izmaksāt šos naudas līdzekļus vienam vai vairākiem uzņēmumiem (“iespējamie saņēmēji”), ja tiek izpildīti visi trīs tālāk minētie nosacījumi:</w:t>
      </w:r>
    </w:p>
    <w:p w:rsidR="00A5438E" w:rsidRPr="00D1358A" w:rsidP="008E47ED" w14:paraId="05954DA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Koncernam nav pienākuma veikt maksājumus iespējamiem</w:t>
      </w:r>
      <w:r w:rsidRPr="00D1358A">
        <w:rPr>
          <w:rFonts w:ascii="Arial Narrow" w:eastAsia="Arial Narrow" w:hAnsi="Arial Narrow" w:cs="Arial Narrow"/>
          <w:sz w:val="16"/>
          <w:szCs w:val="16"/>
          <w:lang w:val="lv-LV"/>
        </w:rPr>
        <w:t xml:space="preserve"> saņēmējiem, ja no sākotnējā aktīva posteņa tas nav ieguvis ekvivalentus naudas līdzekļus, izņemot Koncerna izdarītos īstermiņa avansa maksājumus ar tiesībām uz pilnas aizdevuma summas un uzkrāto tirgus likmes procentu atgūšanu;</w:t>
      </w:r>
    </w:p>
    <w:p w:rsidR="00A5438E" w:rsidRPr="00D1358A" w:rsidP="008E47ED" w14:paraId="4BCFDA6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w:t>
      </w:r>
      <w:r w:rsidRPr="00D1358A">
        <w:rPr>
          <w:rFonts w:ascii="Arial Narrow" w:eastAsia="Arial Narrow" w:hAnsi="Arial Narrow" w:cs="Arial Narrow"/>
          <w:sz w:val="16"/>
          <w:szCs w:val="16"/>
          <w:lang w:val="lv-LV"/>
        </w:rPr>
        <w:tab/>
        <w:t xml:space="preserve"> Koncerns nevar pārdot va</w:t>
      </w:r>
      <w:r w:rsidRPr="00D1358A">
        <w:rPr>
          <w:rFonts w:ascii="Arial Narrow" w:eastAsia="Arial Narrow" w:hAnsi="Arial Narrow" w:cs="Arial Narrow"/>
          <w:sz w:val="16"/>
          <w:szCs w:val="16"/>
          <w:lang w:val="lv-LV"/>
        </w:rPr>
        <w:t>i ieķīlāt sākotnējā aktīva posteni, izņemot kā nodrošinājumu iespējamajiem saņēmējiem attiecībā uz maksājumu veikšanas pienākuma izpildi;</w:t>
      </w:r>
    </w:p>
    <w:p w:rsidR="00A5438E" w:rsidRPr="00D1358A" w:rsidP="008E47ED" w14:paraId="7FF97A40" w14:textId="4E169F4B">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w:t>
      </w:r>
      <w:r w:rsidRPr="00D1358A">
        <w:rPr>
          <w:rFonts w:ascii="Arial Narrow" w:eastAsia="Arial Narrow" w:hAnsi="Arial Narrow" w:cs="Arial Narrow"/>
          <w:sz w:val="16"/>
          <w:szCs w:val="16"/>
          <w:lang w:val="lv-LV"/>
        </w:rPr>
        <w:tab/>
        <w:t>Koncernam ir jāveic visu saņemto naudas līdzekļu pārskaitījumi iespējamiem saņēmējiem bez būtiskas kavēšanās. Turklā</w:t>
      </w:r>
      <w:r w:rsidRPr="00D1358A">
        <w:rPr>
          <w:rFonts w:ascii="Arial Narrow" w:eastAsia="Arial Narrow" w:hAnsi="Arial Narrow" w:cs="Arial Narrow"/>
          <w:sz w:val="16"/>
          <w:szCs w:val="16"/>
          <w:lang w:val="lv-LV"/>
        </w:rPr>
        <w:t>t Koncernam nav tiesību reinvestēt šādus naudas līdzekļus, izņemot ieguldījumus naudā vai naudas ekvivalentos īstermiņa norēķinu periodā no naudas līdzekļu saņemšanas dienas līdz dienai, kurā tiek veikts pārskaitījums iespējamiem saņēmējiem, bet procentu i</w:t>
      </w:r>
      <w:r w:rsidRPr="00D1358A">
        <w:rPr>
          <w:rFonts w:ascii="Arial Narrow" w:eastAsia="Arial Narrow" w:hAnsi="Arial Narrow" w:cs="Arial Narrow"/>
          <w:sz w:val="16"/>
          <w:szCs w:val="16"/>
          <w:lang w:val="lv-LV"/>
        </w:rPr>
        <w:t>eņēmumus no šādiem ieguldījumiem nodod iespējamiem saņēmējiem.</w:t>
      </w:r>
      <w:r w:rsidRPr="00D1358A">
        <w:rPr>
          <w:rFonts w:ascii="Arial Narrow" w:eastAsia="Arial Narrow" w:hAnsi="Arial Narrow" w:cs="Arial Narrow"/>
          <w:sz w:val="16"/>
          <w:szCs w:val="16"/>
          <w:lang w:val="lv-LV"/>
        </w:rPr>
        <w:tab/>
      </w:r>
    </w:p>
    <w:p w:rsidR="00A5438E" w:rsidRPr="00D1358A" w:rsidP="008E47ED" w14:paraId="2B1761F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B16B91E" w14:textId="55E85D74">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Aktīva nodošana atbilst atzīšanas pārtraukšanai tikai tādā gadījumā, ja:</w:t>
      </w:r>
    </w:p>
    <w:p w:rsidR="00A5438E" w:rsidRPr="00D1358A" w:rsidP="008E47ED" w14:paraId="71C8930E"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Koncerns ir nodevis būtībā visus riskus un atlīdzības, kas izriet no īpašumtiesībām uz šo aktīvu, vai</w:t>
      </w:r>
    </w:p>
    <w:p w:rsidR="00A5438E" w:rsidRPr="00D1358A" w:rsidP="002810E8" w14:paraId="56C7C68F" w14:textId="54E9E5FF">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Kon</w:t>
      </w:r>
      <w:r w:rsidRPr="00D1358A">
        <w:rPr>
          <w:rFonts w:ascii="Arial Narrow" w:eastAsia="Arial Narrow" w:hAnsi="Arial Narrow" w:cs="Arial Narrow"/>
          <w:sz w:val="16"/>
          <w:szCs w:val="16"/>
          <w:lang w:val="lv-LV"/>
        </w:rPr>
        <w:t>cerns nav ne nodevis, ne saglabājis visus riskus un atlīdzības, kas izriet no īpašumtiesībām uz šo aktīvu, bet ir nodevis kontroli pār attiecīgo finanšu aktīvu.</w:t>
      </w:r>
    </w:p>
    <w:p w:rsidR="00A5438E" w:rsidRPr="00D1358A" w:rsidP="008E47ED" w14:paraId="4919361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73CD789"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Izmaiņas</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2425920A" w14:textId="55A889F8">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Koncerns mēdz mainīt aizdevumu/ nomas sākotnējos nosacījumus, reaģē</w:t>
      </w:r>
      <w:r w:rsidRPr="00D1358A">
        <w:rPr>
          <w:rFonts w:ascii="Arial Narrow" w:eastAsia="Arial Narrow" w:hAnsi="Arial Narrow" w:cs="Arial Narrow"/>
          <w:sz w:val="16"/>
          <w:szCs w:val="16"/>
          <w:lang w:val="lv-LV"/>
        </w:rPr>
        <w:t>jot uz aizņēmēja finansiālām grūtībām, tā vietā, lai pārņemtu nodrošinājumu vai īstenotu piedziņu citā veidā. Koncerns uzskata, ka aizdevums/ nomas līgums ticis pārstrukturēts, ja šādas izmaiņas veiktas aizņēmēja esošo vai gaidāmo finansiālo grūtību dēļ un</w:t>
      </w:r>
      <w:r w:rsidRPr="00D1358A">
        <w:rPr>
          <w:rFonts w:ascii="Arial Narrow" w:eastAsia="Arial Narrow" w:hAnsi="Arial Narrow" w:cs="Arial Narrow"/>
          <w:sz w:val="16"/>
          <w:szCs w:val="16"/>
          <w:lang w:val="lv-LV"/>
        </w:rPr>
        <w:t xml:space="preserve"> ja Koncerns šādām izmaiņām nebūtu piekritis, ja aizņēmēja finanšu stāvoklis būtu bijis stabils. Finansiālo grūtību pazīmes ir saistību nepildīšana vai kavēto dienu skaits (angl.: Days Past Due (DPD)) pirms izmaiņu veikšanas ir vismaz piecas dienas. Šādas </w:t>
      </w:r>
      <w:r w:rsidRPr="00D1358A">
        <w:rPr>
          <w:rFonts w:ascii="Arial Narrow" w:eastAsia="Arial Narrow" w:hAnsi="Arial Narrow" w:cs="Arial Narrow"/>
          <w:sz w:val="16"/>
          <w:szCs w:val="16"/>
          <w:lang w:val="lv-LV"/>
        </w:rPr>
        <w:t xml:space="preserve">izmaiņas var ietvert līguma pārjaunošanu (ja tiek pārjaunots izbeigts līgums) vai maksājumu termiņa pagarināšanu (ja klienta kavēto dienu skaits ir vismaz 5). Citas izmaiņas, kas tiek uzskatītas par nebūtiskām, ietver tādas izmaiņas līguma nosacījumos, ar </w:t>
      </w:r>
      <w:r w:rsidRPr="00D1358A">
        <w:rPr>
          <w:rFonts w:ascii="Arial Narrow" w:eastAsia="Arial Narrow" w:hAnsi="Arial Narrow" w:cs="Arial Narrow"/>
          <w:sz w:val="16"/>
          <w:szCs w:val="16"/>
          <w:lang w:val="lv-LV"/>
        </w:rPr>
        <w:t>kurām samazina termiņu vai pamatsummu vai maina maksājumu datumu, un kuras parasti tiek ieviestas pēc klienta ierosinājuma.</w:t>
      </w:r>
    </w:p>
    <w:p w:rsidR="00A5438E" w:rsidRPr="00D1358A" w:rsidP="008E47ED" w14:paraId="07FABA3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8C67CB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Ja izmaiņu rezultātā nerodas būtiski atšķirīgas naudas plūsmas, kā aprakstīts iepriekš, izmaiņas neizraisa atzīšanas pārtr</w:t>
      </w:r>
      <w:r w:rsidRPr="00D1358A">
        <w:rPr>
          <w:rFonts w:ascii="Arial Narrow" w:eastAsia="Arial Narrow" w:hAnsi="Arial Narrow" w:cs="Arial Narrow"/>
          <w:sz w:val="16"/>
          <w:szCs w:val="16"/>
          <w:lang w:val="lv-LV"/>
        </w:rPr>
        <w:t>aukšanu. Konsolidētajā apvienoto ienākumu pārskatā Koncerns iegrāmato izmaiņu radītu peļņu vai zaudējumus procentu ieņēmumos/izdevumos, kas aprēķināti saskaņā ar efektīvās procentu likmes metodi (4., 5. piezīme), pamatojoties uz izmaiņām naudas plūsmā, kas</w:t>
      </w:r>
      <w:r w:rsidRPr="00D1358A">
        <w:rPr>
          <w:rFonts w:ascii="Arial Narrow" w:eastAsia="Arial Narrow" w:hAnsi="Arial Narrow" w:cs="Arial Narrow"/>
          <w:sz w:val="16"/>
          <w:szCs w:val="16"/>
          <w:lang w:val="lv-LV"/>
        </w:rPr>
        <w:t xml:space="preserve"> diskontēta ar sākotnējo efektīvo procentu likmi, izņemot, ja ir jau atzīti vērtības samazinājuma zaudējumi (8. piezīme). Papildu informācija par finanšu aktīviem un no finanšu nomas izrietošām prasībām ar mainītiem nosacījumiem ir sniegta sadaļā par vērtī</w:t>
      </w:r>
      <w:r w:rsidRPr="00D1358A">
        <w:rPr>
          <w:rFonts w:ascii="Arial Narrow" w:eastAsia="Arial Narrow" w:hAnsi="Arial Narrow" w:cs="Arial Narrow"/>
          <w:sz w:val="16"/>
          <w:szCs w:val="16"/>
          <w:lang w:val="lv-LV"/>
        </w:rPr>
        <w:t>bas samazinājumu.</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55C02A3"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2810E8" w14:paraId="6FD25F33" w14:textId="6E7A0B32">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Kā aprakstīts sadaļā “Atzīšanas pārtraukšana būtisku nosacījumu izmaiņu dēļ”, gadījumos, kad izmaiņas tiek veiktas komerciālu iemeslu dēļ, to rezultātā tiek pārtraukta sākotnējas nomas/no nomas izrietošo prasību </w:t>
      </w:r>
      <w:r w:rsidRPr="00D1358A">
        <w:rPr>
          <w:rFonts w:ascii="Arial Narrow" w:eastAsia="Arial Narrow" w:hAnsi="Arial Narrow" w:cs="Arial Narrow"/>
          <w:sz w:val="16"/>
          <w:szCs w:val="16"/>
          <w:lang w:val="lv-LV"/>
        </w:rPr>
        <w:t>atzīšana. Šādas izmaiņas ietver nomas vērtības palielināšanu un nomas termiņa pagarināšanu, kas tiek saskaņota ar klientu komerciālu iemeslu dēļ (t.i., gan klients, gan Koncerns ir ieinteresēti veikt būtiskas izmaiņas nomas/no nomas izrietošo prasību apjom</w:t>
      </w:r>
      <w:r w:rsidRPr="00D1358A">
        <w:rPr>
          <w:rFonts w:ascii="Arial Narrow" w:eastAsia="Arial Narrow" w:hAnsi="Arial Narrow" w:cs="Arial Narrow"/>
          <w:sz w:val="16"/>
          <w:szCs w:val="16"/>
          <w:lang w:val="lv-LV"/>
        </w:rPr>
        <w:t>ā). Panākot vienošanos par izmaiņām, vecā līguma un no tā izrietošo prasību atzīšana tiek pārtraukta.</w:t>
      </w:r>
    </w:p>
    <w:p w:rsidR="002810E8" w:rsidRPr="00D1358A" w:rsidP="008E47ED" w14:paraId="34C46C43" w14:textId="77777777">
      <w:pPr>
        <w:keepLines/>
        <w:spacing w:after="0"/>
        <w:jc w:val="both"/>
        <w:rPr>
          <w:rFonts w:ascii="Arial Narrow" w:eastAsia="Arial Narrow" w:hAnsi="Arial Narrow" w:cs="Arial Narrow"/>
          <w:sz w:val="16"/>
          <w:szCs w:val="16"/>
          <w:lang w:val="lv-LV"/>
        </w:rPr>
        <w:sectPr w:rsidSect="00B05740">
          <w:headerReference w:type="even" r:id="rId54"/>
          <w:headerReference w:type="default" r:id="rId55"/>
          <w:footerReference w:type="even" r:id="rId56"/>
          <w:footerReference w:type="default" r:id="rId57"/>
          <w:headerReference w:type="first" r:id="rId58"/>
          <w:footerReference w:type="first" r:id="rId59"/>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p>
    <w:p w:rsidR="00A5438E" w:rsidRPr="00D1358A" w:rsidP="008E47ED" w14:paraId="749B1A04" w14:textId="4DFE6DBB">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2. Nozīmīgu grāmatvedības uzskaites principu kopsavilkums (turpinājums)</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A5438E" w:rsidRPr="00D1358A" w:rsidP="008E47ED" w14:paraId="7D41FA45" w14:textId="5F31D89E">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 xml:space="preserve">d) Svarīgākās grāmatvedības uzskaites </w:t>
      </w:r>
      <w:r w:rsidRPr="00D1358A">
        <w:rPr>
          <w:rFonts w:ascii="Arial Narrow" w:eastAsia="Arial Narrow" w:hAnsi="Arial Narrow" w:cs="Arial Narrow"/>
          <w:b/>
          <w:bCs/>
          <w:i/>
          <w:iCs/>
          <w:sz w:val="16"/>
          <w:szCs w:val="16"/>
          <w:lang w:val="lv-LV"/>
        </w:rPr>
        <w:t>politikas (turpinājums)</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672B1BC8"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7BD5A51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i/>
          <w:iCs/>
          <w:sz w:val="16"/>
          <w:szCs w:val="16"/>
          <w:lang w:val="lv-LV"/>
        </w:rPr>
        <w:t>Nebūtisku izmaiņu uzskaite</w:t>
      </w:r>
      <w:r w:rsidRPr="00D1358A">
        <w:rPr>
          <w:rFonts w:ascii="Arial Narrow" w:eastAsia="Arial Narrow" w:hAnsi="Arial Narrow" w:cs="Arial Narrow"/>
          <w:sz w:val="16"/>
          <w:szCs w:val="16"/>
          <w:lang w:val="lv-LV"/>
        </w:rPr>
        <w:t xml:space="preserve">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E2B509A" w14:textId="651A1040">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Ja naudas plūsmas, kas sagaidāmas no finanšu aktīviem ar fiksētu likmi, tiek pārskatītas tādu iemeslu dēļ, kas nav saistīti ar kredītrisku, izmaiņas līgumā paredzētajās nākotne</w:t>
      </w:r>
      <w:r w:rsidRPr="00D1358A">
        <w:rPr>
          <w:rFonts w:ascii="Arial Narrow" w:eastAsia="Arial Narrow" w:hAnsi="Arial Narrow" w:cs="Arial Narrow"/>
          <w:sz w:val="16"/>
          <w:szCs w:val="16"/>
          <w:lang w:val="lv-LV"/>
        </w:rPr>
        <w:t>s naudas plūsmās tiek diskontētas ar sākotnējo efektīvo procentu likmi un tad veiktas atbilstošas izmaiņas uzskaites vērtībā. Starpību starp iepriekšējo uzskaites vērtību iegrāmato vai nu kā pozitīvu, vai kā negatīvu korekciju finanšu aktīva uzskaites vērt</w:t>
      </w:r>
      <w:r w:rsidRPr="00D1358A">
        <w:rPr>
          <w:rFonts w:ascii="Arial Narrow" w:eastAsia="Arial Narrow" w:hAnsi="Arial Narrow" w:cs="Arial Narrow"/>
          <w:sz w:val="16"/>
          <w:szCs w:val="16"/>
          <w:lang w:val="lv-LV"/>
        </w:rPr>
        <w:t>ībā, kas uzrādīta konsolidētajā finanšu stāvokļa pārskatā, kopā ar atbilstošu samazinājumu vai pieaugumu procentu ieņēmumos/izdevumos, izmantojot efektīvās procentu likmes metodi.</w:t>
      </w:r>
    </w:p>
    <w:p w:rsidR="00A5438E" w:rsidRPr="00D1358A" w:rsidP="008E47ED" w14:paraId="6EBFF77D"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Finanšu aktīva vai finanšu saistību uzskaites vērtība tiek koriģēta, ja Konc</w:t>
      </w:r>
      <w:r w:rsidRPr="00D1358A">
        <w:rPr>
          <w:rFonts w:ascii="Arial Narrow" w:eastAsia="Arial Narrow" w:hAnsi="Arial Narrow" w:cs="Arial Narrow"/>
          <w:sz w:val="16"/>
          <w:szCs w:val="16"/>
          <w:lang w:val="lv-LV"/>
        </w:rPr>
        <w:t>erns pārskata savas maksājumu vai ieņēmumu aplēses. Amortizētajā iegādes vērtībā novērtētu finanšu aktīvu vai saistību nosacījumu izmaiņas neizraisa to atzīšanas pārtraukšanu, bet gan tiek aprēķināta peļņa/zaudējumi no šādām izmaiņām. Koriģētā uzskaites vē</w:t>
      </w:r>
      <w:r w:rsidRPr="00D1358A">
        <w:rPr>
          <w:rFonts w:ascii="Arial Narrow" w:eastAsia="Arial Narrow" w:hAnsi="Arial Narrow" w:cs="Arial Narrow"/>
          <w:sz w:val="16"/>
          <w:szCs w:val="16"/>
          <w:lang w:val="lv-LV"/>
        </w:rPr>
        <w:t>rtība tiek aprēķināta, pamatojoties uz sākotnējo efektīvo procentu likmi, un izmaiņas uzskaites vērtībā uzskaita kā procentu ienākumus vai izdevumus.</w:t>
      </w:r>
    </w:p>
    <w:p w:rsidR="00A5438E" w:rsidRPr="00D1358A" w:rsidP="002A7E5B" w14:paraId="09C05830" w14:textId="33EE474F">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Izmaiņas aktīva līgumā noteiktajās naudas plūsmās atzīst apvienoto ienākumu pārskatā, un izmainīto finanšu</w:t>
      </w:r>
      <w:r w:rsidRPr="00D1358A">
        <w:rPr>
          <w:rFonts w:ascii="Arial Narrow" w:eastAsia="Arial Narrow" w:hAnsi="Arial Narrow" w:cs="Arial Narrow"/>
          <w:sz w:val="16"/>
          <w:szCs w:val="16"/>
          <w:lang w:val="lv-LV"/>
        </w:rPr>
        <w:t xml:space="preserve"> aktīva uzskaites vērtību koriģē par veiktām izmaksām vai maksām, kuras tiek amortizētas atlikušā izmainītā instrumenta dzīves cikla laikā. Tādējādi izmaiņu veikšanas brīdī sākotnējā efektīvā procentu likme, kas noteikta pie sākotnējās atzīšanas, tiek pārs</w:t>
      </w:r>
      <w:r w:rsidRPr="00D1358A">
        <w:rPr>
          <w:rFonts w:ascii="Arial Narrow" w:eastAsia="Arial Narrow" w:hAnsi="Arial Narrow" w:cs="Arial Narrow"/>
          <w:sz w:val="16"/>
          <w:szCs w:val="16"/>
          <w:lang w:val="lv-LV"/>
        </w:rPr>
        <w:t>katīta, lai atspoguļotu veiktās izmaksas vai maksas.</w:t>
      </w:r>
      <w:r w:rsidRPr="00D1358A">
        <w:rPr>
          <w:rFonts w:ascii="Arial Narrow" w:eastAsia="Arial Narrow" w:hAnsi="Arial Narrow" w:cs="Arial Narrow"/>
          <w:sz w:val="16"/>
          <w:szCs w:val="16"/>
          <w:lang w:val="lv-LV"/>
        </w:rPr>
        <w:tab/>
      </w:r>
    </w:p>
    <w:p w:rsidR="00A5438E" w:rsidRPr="00D1358A" w:rsidP="008E47ED" w14:paraId="3303E202"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70245E3"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 xml:space="preserve">Sagaidāmo kredītzaudējumu principi </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6D3FE32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Ja kopš sākotnējās atzīšanas nav būtiski pieaudzis kredītrisks, ECL uzkrājumi tiek veidoti, balstoties uz 12 mēnešu laikā sagaidāmiem kredītzaudēju</w:t>
      </w:r>
      <w:r w:rsidRPr="00D1358A">
        <w:rPr>
          <w:rFonts w:ascii="Arial Narrow" w:eastAsia="Arial Narrow" w:hAnsi="Arial Narrow" w:cs="Arial Narrow"/>
          <w:sz w:val="16"/>
          <w:szCs w:val="16"/>
          <w:lang w:val="lv-LV"/>
        </w:rPr>
        <w:t xml:space="preserve">miem (12mECL), kā aprakstīts zemāk. Ja kopš sākotnējās atzīšanas ir būtiski pieaudzis kredītrisks, ECL uzkrājumi tiek veidoti, balstoties uz dzīvesciklā sagaidāmiem kredītzaudējumiem (LTECL). Koncerna politika, kas paredzēta, lai noteiktu, vai kredītrisks </w:t>
      </w:r>
      <w:r w:rsidRPr="00D1358A">
        <w:rPr>
          <w:rFonts w:ascii="Arial Narrow" w:eastAsia="Arial Narrow" w:hAnsi="Arial Narrow" w:cs="Arial Narrow"/>
          <w:sz w:val="16"/>
          <w:szCs w:val="16"/>
          <w:lang w:val="lv-LV"/>
        </w:rPr>
        <w:t>ir būtiski pieaudzis, ir aprakstīta turpmāk.</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9977160" w14:textId="5C9A105D">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01C7343" w14:textId="4CFA3784">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12mECL ir tā daļa no dzīves cikla ECL, kas atspoguļo paredzamos kredītu zaudējumus no finanšu instrumenta saistību neizpildes, kas ir iespējama 12 mēnešu laikā pēc pārskata perioda beigu datu</w:t>
      </w:r>
      <w:r w:rsidRPr="00D1358A">
        <w:rPr>
          <w:rFonts w:ascii="Arial Narrow" w:eastAsia="Arial Narrow" w:hAnsi="Arial Narrow" w:cs="Arial Narrow"/>
          <w:sz w:val="16"/>
          <w:szCs w:val="16"/>
          <w:lang w:val="lv-LV"/>
        </w:rPr>
        <w:t>ma. Atkarībā no finanšu instrumentu portfeļa iezīmēm gan LTECL, gan 12mECL aprēķina vai nu individuāli, vai portfeļa grupai.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E7EA93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2A7E5B" w14:paraId="3D8C5E4D" w14:textId="363093CD">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Koncernā ir ieviesta politika, kas nosaka, ka katra pārskata perioda beigās ir jānovērtē, vai finanšu instrumenta</w:t>
      </w:r>
      <w:r w:rsidRPr="00D1358A">
        <w:rPr>
          <w:rFonts w:ascii="Arial Narrow" w:eastAsia="Arial Narrow" w:hAnsi="Arial Narrow" w:cs="Arial Narrow"/>
          <w:sz w:val="16"/>
          <w:szCs w:val="16"/>
          <w:lang w:val="lv-LV"/>
        </w:rPr>
        <w:t xml:space="preserve"> kredītrisks nav būtiski pieaudzis kopš tā sākotnējās atzīšanas, izvērtējot izmaiņas saistību neizpildes riskā, kas var rasties finanšu instrumenta atlikušajā termiņā. Paskaidrojumi ir sniegti sadaļā “Finanšu aktīvu vērtības samazinājums” (3. piezīme).</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D0A918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97DD4EA"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 xml:space="preserve">No finanšu nomas izrietošo prasību un kredītu un izsniegto avansu vērtības samazinājums </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5B5DEBEC"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Kredītreitinga noteikšana</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3D30B18C" w14:textId="2FE03EDF">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Tā kā Koncerna saimnieciskās darbības pamata aktīvi – no finanšu nomas izrietošas prasības un kredīti un izsniegtie avansi – ir saistīti ar privātpersonu apkalpošanu, kredītportfeļa ECL aprēķiniem, kuru pamatā galvenokārt ir kavēto dienu (</w:t>
      </w:r>
      <w:r w:rsidRPr="00D1358A" w:rsidR="0044035B">
        <w:rPr>
          <w:rFonts w:ascii="Arial Narrow" w:eastAsia="Arial Narrow" w:hAnsi="Arial Narrow" w:cs="Arial Narrow"/>
          <w:sz w:val="16"/>
          <w:szCs w:val="16"/>
          <w:lang w:val="lv-LV"/>
        </w:rPr>
        <w:t>DPD</w:t>
      </w:r>
      <w:r w:rsidRPr="00D1358A">
        <w:rPr>
          <w:rFonts w:ascii="Arial Narrow" w:eastAsia="Arial Narrow" w:hAnsi="Arial Narrow" w:cs="Arial Narrow"/>
          <w:sz w:val="16"/>
          <w:szCs w:val="16"/>
          <w:lang w:val="lv-LV"/>
        </w:rPr>
        <w:t>) rādītājs, ti</w:t>
      </w:r>
      <w:r w:rsidRPr="00D1358A">
        <w:rPr>
          <w:rFonts w:ascii="Arial Narrow" w:eastAsia="Arial Narrow" w:hAnsi="Arial Narrow" w:cs="Arial Narrow"/>
          <w:sz w:val="16"/>
          <w:szCs w:val="16"/>
          <w:lang w:val="lv-LV"/>
        </w:rPr>
        <w:t>e ir apvienoti grupās pēc valsts un produkta (no finanšu nomas izrietošas prasības un patēriņa kredīti). No finanšu nomas izrietošo prasību un kredītu un izsniegto avansu portfeli Koncerns analizē, iedalot debitoru parādus kategorijās pēc katra parāda kavē</w:t>
      </w:r>
      <w:r w:rsidRPr="00D1358A">
        <w:rPr>
          <w:rFonts w:ascii="Arial Narrow" w:eastAsia="Arial Narrow" w:hAnsi="Arial Narrow" w:cs="Arial Narrow"/>
          <w:sz w:val="16"/>
          <w:szCs w:val="16"/>
          <w:lang w:val="lv-LV"/>
        </w:rPr>
        <w:t>to dienu metrikas un tā, vai ir sniegta ķīla (nodrošinātiem produktiem). No finanšu nomas izrietošās prasības un nodrošinātie kredīti (kredīti ar automašīnas nodrošinājumu) ir apvienoti, jo tie pēc rakstura ir līdzīgi.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03CCD7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7A33E8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Koncerns pastāvīgi</w:t>
      </w:r>
      <w:r w:rsidRPr="00D1358A">
        <w:rPr>
          <w:rFonts w:ascii="Arial Narrow" w:eastAsia="Arial Narrow" w:hAnsi="Arial Narrow" w:cs="Arial Narrow"/>
          <w:sz w:val="16"/>
          <w:szCs w:val="16"/>
          <w:lang w:val="lv-LV"/>
        </w:rPr>
        <w:t xml:space="preserve"> uzrauga visus aktīvus, kuriem ir noteikti paredzamie kredītzaudējumi. Lai noteiktu, vai instrumentam vai instrumentu portfelim būtu jānosaka 12mECL vai LTECL, Koncerns izvērtē, vai kopš sākotnējās atzīšanas ir būtiski pieaudzis kredītrisks. Aplēšot ECL lī</w:t>
      </w:r>
      <w:r w:rsidRPr="00D1358A">
        <w:rPr>
          <w:rFonts w:ascii="Arial Narrow" w:eastAsia="Arial Narrow" w:hAnsi="Arial Narrow" w:cs="Arial Narrow"/>
          <w:sz w:val="16"/>
          <w:szCs w:val="16"/>
          <w:lang w:val="lv-LV"/>
        </w:rPr>
        <w:t>dzīgu aktīvu portfelim, Koncerns piemēro tos pašu principus, lai izvērtētu, vai kopš sākotnējās atzīšanas ir būtiski pieaudzis kredītrisks visiem portfeļiem vienā valstī pēc produkta veida – nomas vai aizdevuma produkts.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FEF10C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163A61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No finanšu nomas</w:t>
      </w:r>
      <w:r w:rsidRPr="00D1358A">
        <w:rPr>
          <w:rFonts w:ascii="Arial Narrow" w:eastAsia="Arial Narrow" w:hAnsi="Arial Narrow" w:cs="Arial Narrow"/>
          <w:sz w:val="16"/>
          <w:szCs w:val="16"/>
          <w:lang w:val="lv-LV"/>
        </w:rPr>
        <w:t xml:space="preserve"> izrietošās prasības un kredītus un izsniegtos avansus Koncerns iedala šādās kategorijās: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6E7AD9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No finanšu nomas izrietošas prasības un nodrošināti kredīti: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0FBC05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1) Nav kavēti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50EA9E3"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2) Kavējums līdz 30 dienām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E9852F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3) Kavējums no 31 līdz 60 </w:t>
      </w:r>
      <w:r w:rsidRPr="00D1358A">
        <w:rPr>
          <w:rFonts w:ascii="Arial Narrow" w:eastAsia="Arial Narrow" w:hAnsi="Arial Narrow" w:cs="Arial Narrow"/>
          <w:sz w:val="16"/>
          <w:szCs w:val="16"/>
          <w:lang w:val="lv-LV"/>
        </w:rPr>
        <w:t>dienām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4B39DF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4) Kavējums vairāk nekā 60 dienas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9C06E4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5) bez nodrošinājuma (vispārēja definīcija: kavējums vairāk nekā 90 dienas vai ķīla nav pieejama, t.i., zaudēta vai pārdota).</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652F68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7C7777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Kredīti un izsniegti avansi (nenodrošināti kredīti):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A402BA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1) Nav kavēti;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AD7DB2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2) Kavējums līdz 30 dienām;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5FEF1BD"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3) Kavējums no 31 līdz 60 dienām;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08C843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4) Kavējums vairāk nekā 60 dienas.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9B9711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A359A1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Balstoties uz iepriekš aprakstīto procesu, nomas un kredītus Koncerns iedala 1. stadijā,</w:t>
      </w:r>
      <w:r w:rsidRPr="00D1358A">
        <w:rPr>
          <w:rFonts w:ascii="Arial Narrow" w:eastAsia="Arial Narrow" w:hAnsi="Arial Narrow" w:cs="Arial Narrow"/>
          <w:sz w:val="16"/>
          <w:szCs w:val="16"/>
          <w:lang w:val="lv-LV"/>
        </w:rPr>
        <w:t xml:space="preserve"> 2. stadijā un 3. stadijā šādi: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375530" w:rsidP="008E47ED" w14:paraId="199FB845" w14:textId="77777777">
      <w:pPr>
        <w:keepLines/>
        <w:spacing w:after="0"/>
        <w:jc w:val="both"/>
        <w:rPr>
          <w:rFonts w:ascii="Arial Narrow" w:eastAsia="Arial Narrow" w:hAnsi="Arial Narrow" w:cs="Arial Narrow"/>
          <w:sz w:val="16"/>
          <w:szCs w:val="16"/>
          <w:lang w:val="lv-LV"/>
        </w:rPr>
        <w:sectPr w:rsidSect="00B05740">
          <w:headerReference w:type="even" r:id="rId60"/>
          <w:headerReference w:type="default" r:id="rId61"/>
          <w:footerReference w:type="even" r:id="rId62"/>
          <w:footerReference w:type="default" r:id="rId63"/>
          <w:headerReference w:type="first" r:id="rId64"/>
          <w:footerReference w:type="first" r:id="rId65"/>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r w:rsidRPr="00D1358A">
        <w:rPr>
          <w:rFonts w:ascii="Arial Narrow" w:eastAsia="Arial Narrow" w:hAnsi="Arial Narrow" w:cs="Arial Narrow"/>
          <w:sz w:val="16"/>
          <w:szCs w:val="16"/>
          <w:lang w:val="lv-LV"/>
        </w:rPr>
        <w:t>• 1. stadija: Kad noma/kredīts tiek atzīts pirmo reizi, Koncerns atzīst uzkrājumus, balstoties uz 12mECL. Nomas, kas uzskatāmas par īstermiņa vai kuru DPD rādītājs ir līdz 30 dienām, Koncerns iekļa</w:t>
      </w:r>
      <w:r w:rsidRPr="00D1358A">
        <w:rPr>
          <w:rFonts w:ascii="Arial Narrow" w:eastAsia="Arial Narrow" w:hAnsi="Arial Narrow" w:cs="Arial Narrow"/>
          <w:sz w:val="16"/>
          <w:szCs w:val="16"/>
          <w:lang w:val="lv-LV"/>
        </w:rPr>
        <w:t>uj 1. stadijā.</w:t>
      </w:r>
      <w:r w:rsidRPr="00D1358A">
        <w:rPr>
          <w:rFonts w:ascii="Arial Narrow" w:eastAsia="Arial Narrow" w:hAnsi="Arial Narrow" w:cs="Arial Narrow"/>
          <w:sz w:val="16"/>
          <w:szCs w:val="16"/>
          <w:lang w:val="lv-LV"/>
        </w:rPr>
        <w:tab/>
      </w:r>
    </w:p>
    <w:p w:rsidR="00A5438E" w:rsidRPr="00D1358A" w:rsidP="008E47ED" w14:paraId="25661AEF" w14:textId="5529D3AB">
      <w:pPr>
        <w:keepLines/>
        <w:spacing w:after="0"/>
        <w:jc w:val="both"/>
        <w:rPr>
          <w:rFonts w:ascii="Arial Narrow" w:eastAsia="Arial Narrow" w:hAnsi="Arial Narrow" w:cs="Arial Narrow"/>
          <w:sz w:val="16"/>
          <w:szCs w:val="16"/>
          <w:lang w:val="lv-LV"/>
        </w:rPr>
      </w:pPr>
    </w:p>
    <w:p w:rsidR="00A5438E" w:rsidRPr="00D1358A" w:rsidP="008E47ED" w14:paraId="592418D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P="005635B0" w14:paraId="650FD0FD" w14:textId="77777777">
      <w:pPr>
        <w:keepLines/>
        <w:spacing w:after="0"/>
        <w:jc w:val="both"/>
        <w:rPr>
          <w:rFonts w:ascii="Arial Narrow" w:eastAsia="Arial Narrow" w:hAnsi="Arial Narrow" w:cs="Arial Narrow"/>
          <w:sz w:val="16"/>
          <w:szCs w:val="16"/>
          <w:lang w:val="lv-LV"/>
        </w:rPr>
      </w:pPr>
    </w:p>
    <w:p w:rsidR="00793F2C" w:rsidRPr="00D1358A" w:rsidP="00793F2C" w14:paraId="09A6DA37" w14:textId="77777777">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2. Nozīmīgu grāmatvedības uzskaites principu kopsavilkums (turpinājums)</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793F2C" w:rsidP="00793F2C" w14:paraId="3DD403E9" w14:textId="74B8651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d) Svarīgākās grāmatvedības uzskaites politikas (turpinājums)</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793F2C" w:rsidP="00793F2C" w14:paraId="610B1193" w14:textId="77777777">
      <w:pPr>
        <w:keepLines/>
        <w:spacing w:after="0"/>
        <w:jc w:val="both"/>
        <w:rPr>
          <w:rFonts w:ascii="Arial Narrow" w:eastAsia="Arial Narrow" w:hAnsi="Arial Narrow" w:cs="Arial Narrow"/>
          <w:sz w:val="16"/>
          <w:szCs w:val="16"/>
          <w:lang w:val="lv-LV"/>
        </w:rPr>
      </w:pPr>
    </w:p>
    <w:p w:rsidR="00A5438E" w:rsidRPr="00D1358A" w:rsidP="005635B0" w14:paraId="392777ED" w14:textId="2AD1631C">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Pirms riska darījumu, kas klasificēts kā 2. stadija, pārceļ uz 1. stadiju, ir </w:t>
      </w:r>
      <w:r w:rsidRPr="00D1358A">
        <w:rPr>
          <w:rFonts w:ascii="Arial Narrow" w:eastAsia="Arial Narrow" w:hAnsi="Arial Narrow" w:cs="Arial Narrow"/>
          <w:sz w:val="16"/>
          <w:szCs w:val="16"/>
          <w:lang w:val="lv-LV"/>
        </w:rPr>
        <w:t>jāpaiet vienu mēnesi garam atveseļošanās periodam, un šādam riska darījumam ir jāatbilst iepriekš minētajiem vispārējiem 1. stadijas DPD kritērijiem. Atveseļošanās perioda koncepcija netiek piemērota nenodrošinātiem kredītiem. Riska darījumi tiek izņemti n</w:t>
      </w:r>
      <w:r w:rsidRPr="00D1358A">
        <w:rPr>
          <w:rFonts w:ascii="Arial Narrow" w:eastAsia="Arial Narrow" w:hAnsi="Arial Narrow" w:cs="Arial Narrow"/>
          <w:sz w:val="16"/>
          <w:szCs w:val="16"/>
          <w:lang w:val="lv-LV"/>
        </w:rPr>
        <w:t>o 1. stadijas brīdī, kad tie vairs neatbilst iepriekš aprakstītajiem kritērijiem.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A30A09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68D33A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2. stadija: Ja tiek secināts, ka kopš sākotnējās atzīšanas ir būtiski pieaudzis kredīta/nomas kredītrisks, Koncerns atzīst uzkrājumus paredzamiem kredītzaudējum</w:t>
      </w:r>
      <w:r w:rsidRPr="00D1358A">
        <w:rPr>
          <w:rFonts w:ascii="Arial Narrow" w:eastAsia="Arial Narrow" w:hAnsi="Arial Narrow" w:cs="Arial Narrow"/>
          <w:sz w:val="16"/>
          <w:szCs w:val="16"/>
          <w:lang w:val="lv-LV"/>
        </w:rPr>
        <w:t>iem. Par 2. stadijas kredītiem Koncerns parasti atzīst nomas, kuru kavēto dienu skaits ir no 31 līdz 60 dienām. Nenodrošināts kredīts tiek klasificēts 2. stadijā, ja tā DPD rādītājs ir robežās no 31 līdz 60. Nomas riska darījumi tiek saglabāti 2. stadijā d</w:t>
      </w:r>
      <w:r w:rsidRPr="00D1358A">
        <w:rPr>
          <w:rFonts w:ascii="Arial Narrow" w:eastAsia="Arial Narrow" w:hAnsi="Arial Narrow" w:cs="Arial Narrow"/>
          <w:sz w:val="16"/>
          <w:szCs w:val="16"/>
          <w:lang w:val="lv-LV"/>
        </w:rPr>
        <w:t>ivus mēnešus ilgu atveseļošanās periodu pat tad, ja šajā periodā tie citādi atbilst 1. stadijas kritērijiem.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ED3AD0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9A26A2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3. stadija: Nomas un kredīti ar samazinātu kredītvērtību un saistību neizpildi. Koncerns veido uzkrājumus LTECL. Koncerns uzsk</w:t>
      </w:r>
      <w:r w:rsidRPr="00D1358A">
        <w:rPr>
          <w:rFonts w:ascii="Arial Narrow" w:eastAsia="Arial Narrow" w:hAnsi="Arial Narrow" w:cs="Arial Narrow"/>
          <w:sz w:val="16"/>
          <w:szCs w:val="16"/>
          <w:lang w:val="lv-LV"/>
        </w:rPr>
        <w:t>ata, ka finanšu nomas līgumā un nodrošinātā kredīta līgumā netiek pildītas saistības un tāpēc tas būtu jāpārceļ uz 3. stadiju tad, kad aizņēmējs ir kavējis maksājumus 61 dienas vai nomas / kredīta līgums tiek pārtraukts.  Koncerns uzskata, ka nenodrošināta</w:t>
      </w:r>
      <w:r w:rsidRPr="00D1358A">
        <w:rPr>
          <w:rFonts w:ascii="Arial Narrow" w:eastAsia="Arial Narrow" w:hAnsi="Arial Narrow" w:cs="Arial Narrow"/>
          <w:sz w:val="16"/>
          <w:szCs w:val="16"/>
          <w:lang w:val="lv-LV"/>
        </w:rPr>
        <w:t xml:space="preserve"> kredīta līgumā netiek pildītas saistības un tāpēc tas būtu jāpārceļ uz 3. stadiju tad, kad aizņēmējs ir kavējis maksājumus 61 dienas. Riska darījumi tiek saglabāti 3. stadijā vienu mēnesi ilgu atveseļošanās periodu pat tad, ja šajā periodā tie citādi atbi</w:t>
      </w:r>
      <w:r w:rsidRPr="00D1358A">
        <w:rPr>
          <w:rFonts w:ascii="Arial Narrow" w:eastAsia="Arial Narrow" w:hAnsi="Arial Narrow" w:cs="Arial Narrow"/>
          <w:sz w:val="16"/>
          <w:szCs w:val="16"/>
          <w:lang w:val="lv-LV"/>
        </w:rPr>
        <w:t>lst 2. stadijas kritērijiem.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5FE869E"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P="005635B0" w14:paraId="6D9FBAA8" w14:textId="73625652">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Ņemot vērā Koncerna riska darījumu raksturu, kvalitatīvs izvērtējums par to, vai klients nepilda saistības, netiek veikts un galvenais uzsvars tiek likts uz iepriekš aprakstītajiem kritērijiem.</w:t>
      </w:r>
    </w:p>
    <w:p w:rsidR="00793F2C" w:rsidP="005635B0" w14:paraId="1E96805A" w14:textId="77777777">
      <w:pPr>
        <w:keepLines/>
        <w:spacing w:after="0"/>
        <w:jc w:val="both"/>
        <w:rPr>
          <w:rFonts w:ascii="Arial Narrow" w:eastAsia="Arial Narrow" w:hAnsi="Arial Narrow" w:cs="Arial Narrow"/>
          <w:sz w:val="16"/>
          <w:szCs w:val="16"/>
          <w:lang w:val="lv-LV"/>
        </w:rPr>
      </w:pPr>
    </w:p>
    <w:p w:rsidR="00793F2C" w:rsidRPr="00D1358A" w:rsidP="00793F2C" w14:paraId="774729C5"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Iecietības pasākumi (turpmāk tekstā TDR) un Pārstrukturēšana</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793F2C" w:rsidRPr="00D1358A" w:rsidP="00793F2C" w14:paraId="001A709E"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Reaģējot uz notikumiem saistībā ar Covid-19 izplatību, Koncerns ir ieviesis TDR programmu, kas sastāv no 2 galvenajiem produktiem: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115F0F3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Pagarinājums – maksājumu brīvdienas uz vienu </w:t>
      </w:r>
      <w:r w:rsidRPr="00D1358A">
        <w:rPr>
          <w:rFonts w:ascii="Arial Narrow" w:eastAsia="Arial Narrow" w:hAnsi="Arial Narrow" w:cs="Arial Narrow"/>
          <w:sz w:val="16"/>
          <w:szCs w:val="16"/>
          <w:lang w:val="lv-LV"/>
        </w:rPr>
        <w:t>vai vairākiem mēnešiem. Klients samaksā maksu par pagarinājuma piešķiršanu un atgriežas pie sākotnējā maksājumu grafika dažu turpmāko mēnešu laikā. Pagarinājuma maksas samaksa tiek uzskatīta par zīmi, ka klients vēlas sadarboties, un Sabiedrība sagaida, ka</w:t>
      </w:r>
      <w:r w:rsidRPr="00D1358A">
        <w:rPr>
          <w:rFonts w:ascii="Arial Narrow" w:eastAsia="Arial Narrow" w:hAnsi="Arial Narrow" w:cs="Arial Narrow"/>
          <w:sz w:val="16"/>
          <w:szCs w:val="16"/>
          <w:lang w:val="lv-LV"/>
        </w:rPr>
        <w:t>, iestājoties normāliem apstākļiem, klients atgriezīsies pie iepriekš noteiktā maksājumu grafika. Šādu gadījumu klasifikācija stadijās ir balstīta uz DPD.</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06D7F5E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2601218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Pārstrukturēšana  - pastāvīgi grozījumi maksājumu grafikā. Klasifikācija šajā stad</w:t>
      </w:r>
      <w:r w:rsidRPr="00D1358A">
        <w:rPr>
          <w:rFonts w:ascii="Arial Narrow" w:eastAsia="Arial Narrow" w:hAnsi="Arial Narrow" w:cs="Arial Narrow"/>
          <w:sz w:val="16"/>
          <w:szCs w:val="16"/>
          <w:lang w:val="lv-LV"/>
        </w:rPr>
        <w:t>ijā ir balstīta uz DPD.</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146FDAB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22268403"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TDR un pārstrukturēšana, (t.i., sākotnējā maksājumu grafika izmaiņas) ir gandrīz vienīgais iespējamais risinājums, lai samazinātu klientu finanšu slogu šajos apstākļos. Tāpēc to, ka ir piešķirts kāds iecietības pas</w:t>
      </w:r>
      <w:r w:rsidRPr="00D1358A">
        <w:rPr>
          <w:rFonts w:ascii="Arial Narrow" w:eastAsia="Arial Narrow" w:hAnsi="Arial Narrow" w:cs="Arial Narrow"/>
          <w:sz w:val="16"/>
          <w:szCs w:val="16"/>
          <w:lang w:val="lv-LV"/>
        </w:rPr>
        <w:t xml:space="preserve">ākums, nevar uzskatīt par būtisku kredītriska pieaugumu, ja klients maksā saskaņā ar jaunajiem nosacījumiem un vēlāk atgriežas pie sākotnējā maksājumu grafika vai tāda, kas ir gandrīz tāds pats.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3AA31F4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1EF4163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Koncerns ir veicis izmaiņas vērtības samazināju</w:t>
      </w:r>
      <w:r w:rsidRPr="00D1358A">
        <w:rPr>
          <w:rFonts w:ascii="Arial Narrow" w:eastAsia="Arial Narrow" w:hAnsi="Arial Narrow" w:cs="Arial Narrow"/>
          <w:sz w:val="16"/>
          <w:szCs w:val="16"/>
          <w:lang w:val="lv-LV"/>
        </w:rPr>
        <w:t>ma politikā, kas būs spēkā līdz turpmākiem norādījumiem, bet ne ilgāk kā līdz 2021. gada decembrim: gadījumos, kad Koncernam ir pamats uzskatīt, ka klients atsāks veikt maksājumus pēc līgumā noteiktā grafika ne vēlāk kā pēc 12 mēnešiem, šos apstākļus neuzs</w:t>
      </w:r>
      <w:r w:rsidRPr="00D1358A">
        <w:rPr>
          <w:rFonts w:ascii="Arial Narrow" w:eastAsia="Arial Narrow" w:hAnsi="Arial Narrow" w:cs="Arial Narrow"/>
          <w:sz w:val="16"/>
          <w:szCs w:val="16"/>
          <w:lang w:val="lv-LV"/>
        </w:rPr>
        <w:t xml:space="preserve">kata par būtisku kredītriska pieaugumu (SICR) pat tad, ja klientam ir piešķirts kāds iecietības pasākums.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150484D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P="00793F2C" w14:paraId="0881D14D" w14:textId="636B94B4">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Savukārt, pagaidu parādu pārstrukturēšana, kas veikta klientiem, kuriem iepriekš bija iestājusies saistību neizpilde, nozīmē, ka riska da</w:t>
      </w:r>
      <w:r w:rsidRPr="00D1358A">
        <w:rPr>
          <w:rFonts w:ascii="Arial Narrow" w:eastAsia="Arial Narrow" w:hAnsi="Arial Narrow" w:cs="Arial Narrow"/>
          <w:sz w:val="16"/>
          <w:szCs w:val="16"/>
          <w:lang w:val="lv-LV"/>
        </w:rPr>
        <w:t>rījums tiek saglabāts 3. stadijā vienu mēnesi ilgu atveseļošanās periodu, kam seko divu mēnešu garš atveseļošanās periods 2. stadijā. Ja pirms saistību neizpildes iestāšanās tiek veiktas izmaiņas ar kredītu saistītu iemeslu dēļ (parasti termiņa pagarinājum</w:t>
      </w:r>
      <w:r w:rsidRPr="00D1358A">
        <w:rPr>
          <w:rFonts w:ascii="Arial Narrow" w:eastAsia="Arial Narrow" w:hAnsi="Arial Narrow" w:cs="Arial Narrow"/>
          <w:sz w:val="16"/>
          <w:szCs w:val="16"/>
          <w:lang w:val="lv-LV"/>
        </w:rPr>
        <w:t>i), riska darījums tiek pārcelts uz 2. stadiju uz 2 mēnešu ilgu atveseļošanās periodu.</w:t>
      </w:r>
    </w:p>
    <w:p w:rsidR="00793F2C" w:rsidP="00793F2C" w14:paraId="3134A3E5" w14:textId="4B804E40">
      <w:pPr>
        <w:keepLines/>
        <w:spacing w:after="0"/>
        <w:jc w:val="both"/>
        <w:rPr>
          <w:rFonts w:ascii="Arial Narrow" w:eastAsia="Arial Narrow" w:hAnsi="Arial Narrow" w:cs="Arial Narrow"/>
          <w:sz w:val="16"/>
          <w:szCs w:val="16"/>
          <w:lang w:val="lv-LV"/>
        </w:rPr>
      </w:pPr>
    </w:p>
    <w:p w:rsidR="00793F2C" w:rsidRPr="00D1358A" w:rsidP="00793F2C" w14:paraId="795C3A04"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Sagaidāmo kredītzaudējumu aprēķināšana</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793F2C" w:rsidRPr="00D1358A" w:rsidP="00793F2C" w14:paraId="622AB03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Sagaidāmos kredītzaudējumus Koncerns aprēķina, balstoties uz iespējamības svērtiem scenārijiem, kuros novērtēts paredzam</w:t>
      </w:r>
      <w:r w:rsidRPr="00D1358A">
        <w:rPr>
          <w:rFonts w:ascii="Arial Narrow" w:eastAsia="Arial Narrow" w:hAnsi="Arial Narrow" w:cs="Arial Narrow"/>
          <w:sz w:val="16"/>
          <w:szCs w:val="16"/>
          <w:lang w:val="lv-LV"/>
        </w:rPr>
        <w:t>ais naudas deficīts, kas diskontēts ar aptuvenu EIR. Naudas deficīts ir starpība starp naudas plūsmām, kas Koncernam pienākas saskaņā ar līgumu, un naudas plūsmām, kuras Koncerns sagaida saņemt.</w:t>
      </w:r>
    </w:p>
    <w:p w:rsidR="00793F2C" w:rsidRPr="00D1358A" w:rsidP="00793F2C" w14:paraId="1AB775D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0B2F971D"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Modeļa galvenie elementi šādi:</w:t>
      </w:r>
    </w:p>
    <w:p w:rsidR="00793F2C" w:rsidRPr="00D1358A" w:rsidP="00793F2C" w14:paraId="3BC4F24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PD (angl: Probabil</w:t>
      </w:r>
      <w:r w:rsidRPr="00D1358A">
        <w:rPr>
          <w:rFonts w:ascii="Arial Narrow" w:eastAsia="Arial Narrow" w:hAnsi="Arial Narrow" w:cs="Arial Narrow"/>
          <w:sz w:val="16"/>
          <w:szCs w:val="16"/>
          <w:lang w:val="lv-LV"/>
        </w:rPr>
        <w:t>ity of Default) saistību neizpildes varbūtība atspoguļo aplēsto iespējamību, ka 12 mēnešu vai dzīvescikla laikā iestāsies saistību neizpilde (laika periods ir atkarīgs no ECL veida - t.i., 12mECL vai LTECL). Saistību neizpildes izkliedes vektors (angl: Def</w:t>
      </w:r>
      <w:r w:rsidRPr="00D1358A">
        <w:rPr>
          <w:rFonts w:ascii="Arial Narrow" w:eastAsia="Arial Narrow" w:hAnsi="Arial Narrow" w:cs="Arial Narrow"/>
          <w:sz w:val="16"/>
          <w:szCs w:val="16"/>
          <w:lang w:val="lv-LV"/>
        </w:rPr>
        <w:t>ault distribution vector (DDV)) ir aplēstais laiks, līdz iestājas saistību neizpilde, precīzāk, tas nodrošina PD izkliedi 12 mēnešu perioda vai dzīvescikla ietvaros. "</w:t>
      </w:r>
    </w:p>
    <w:p w:rsidR="00793F2C" w:rsidRPr="00D1358A" w:rsidP="00793F2C" w14:paraId="0D8E5C5E"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297A30D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Atlikums pie saistību neizpildes (angl: Exposure at Default (EAD)) ir aplēst</w:t>
      </w:r>
      <w:r w:rsidRPr="00D1358A">
        <w:rPr>
          <w:rFonts w:ascii="Arial Narrow" w:eastAsia="Arial Narrow" w:hAnsi="Arial Narrow" w:cs="Arial Narrow"/>
          <w:sz w:val="16"/>
          <w:szCs w:val="16"/>
          <w:lang w:val="lv-LV"/>
        </w:rPr>
        <w:t>ā riska darījuma atlikums nākotnes saistību neizpildes brīdī, ņemot vērā paredzamās izmaiņas riska darījuma atlikumā pēc pārskata perioda beigu datuma, ieskaitot atmaksas – gan paredzētas saskaņā ar līgumu, gan citādas.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4FB01513"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31254E7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LGD (angl: Loss</w:t>
      </w:r>
      <w:r w:rsidRPr="00D1358A">
        <w:rPr>
          <w:rFonts w:ascii="Arial Narrow" w:eastAsia="Arial Narrow" w:hAnsi="Arial Narrow" w:cs="Arial Narrow"/>
          <w:sz w:val="16"/>
          <w:szCs w:val="16"/>
          <w:lang w:val="lv-LV"/>
        </w:rPr>
        <w:t xml:space="preserve"> Given Default) Zaudējumi no saistību neizpildes ir aplēstie zaudējumi gadījumā, kad konkrētā laikā iestājas saistību neizpilde. To pamatā ir starpība starp naudas plūsmām, kas saņemamas saistību neizpildes brīdī, un tām naudas plūsmām, kuras aizdevējs ir </w:t>
      </w:r>
      <w:r w:rsidRPr="00D1358A">
        <w:rPr>
          <w:rFonts w:ascii="Arial Narrow" w:eastAsia="Arial Narrow" w:hAnsi="Arial Narrow" w:cs="Arial Narrow"/>
          <w:sz w:val="16"/>
          <w:szCs w:val="16"/>
          <w:lang w:val="lv-LV"/>
        </w:rPr>
        <w:t>paredzējis saņemt, ieskaitot naudas plūsmas no ķīlas realizācijas, atskaitot izdevumus, kas saistīti ar piedziņu un ķīlas realizāciju. Parasti šis rādītājs ir izteikts kā procentuāla daļa no atlikuma ar saistību neizpildi.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P="00793F2C" w14:paraId="1446C0B9" w14:textId="77777777">
      <w:pPr>
        <w:keepLines/>
        <w:spacing w:after="0"/>
        <w:jc w:val="both"/>
        <w:rPr>
          <w:rFonts w:ascii="Arial Narrow" w:eastAsia="Arial Narrow" w:hAnsi="Arial Narrow" w:cs="Arial Narrow"/>
          <w:sz w:val="16"/>
          <w:szCs w:val="16"/>
          <w:lang w:val="lv-LV"/>
        </w:rPr>
      </w:pPr>
    </w:p>
    <w:p w:rsidR="005635B0" w:rsidP="008E47ED" w14:paraId="3184A544" w14:textId="77777777">
      <w:pPr>
        <w:keepLines/>
        <w:spacing w:after="0"/>
        <w:jc w:val="both"/>
        <w:rPr>
          <w:rFonts w:ascii="Arial Narrow" w:eastAsia="Arial Narrow" w:hAnsi="Arial Narrow" w:cs="Arial Narrow"/>
          <w:sz w:val="16"/>
          <w:szCs w:val="16"/>
          <w:lang w:val="lv-LV"/>
        </w:rPr>
      </w:pPr>
    </w:p>
    <w:p w:rsidR="00793F2C" w:rsidP="008E47ED" w14:paraId="439D5297" w14:textId="77777777">
      <w:pPr>
        <w:keepLines/>
        <w:spacing w:after="0"/>
        <w:jc w:val="both"/>
        <w:rPr>
          <w:rFonts w:ascii="Arial Narrow" w:eastAsia="Arial Narrow" w:hAnsi="Arial Narrow" w:cs="Arial Narrow"/>
          <w:sz w:val="16"/>
          <w:szCs w:val="16"/>
          <w:lang w:val="lv-LV"/>
        </w:rPr>
      </w:pPr>
    </w:p>
    <w:p w:rsidR="00793F2C" w:rsidRPr="00D1358A" w:rsidP="008E47ED" w14:paraId="5D5165E9" w14:textId="48C4DE9F">
      <w:pPr>
        <w:keepLines/>
        <w:spacing w:after="0"/>
        <w:jc w:val="both"/>
        <w:rPr>
          <w:rFonts w:ascii="Arial Narrow" w:eastAsia="Arial Narrow" w:hAnsi="Arial Narrow" w:cs="Arial Narrow"/>
          <w:b/>
          <w:bCs/>
          <w:sz w:val="16"/>
          <w:szCs w:val="16"/>
          <w:lang w:val="lv-LV"/>
        </w:rPr>
        <w:sectPr w:rsidSect="00B05740">
          <w:headerReference w:type="even" r:id="rId66"/>
          <w:headerReference w:type="default" r:id="rId67"/>
          <w:footerReference w:type="even" r:id="rId68"/>
          <w:footerReference w:type="default" r:id="rId69"/>
          <w:headerReference w:type="first" r:id="rId70"/>
          <w:footerReference w:type="first" r:id="rId71"/>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p>
    <w:p w:rsidR="00A5438E" w:rsidRPr="00D1358A" w:rsidP="008E47ED" w14:paraId="23C8B891" w14:textId="40AA38CA">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2. Nozīmīgu grāmatvedības uzskaites principu kopsavilkums (turpinājums)</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A5438E" w:rsidRPr="00D1358A" w:rsidP="008E47ED" w14:paraId="665D5E20" w14:textId="7F413ABF">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d</w:t>
      </w:r>
      <w:r w:rsidRPr="00D1358A" w:rsidR="006E614D">
        <w:rPr>
          <w:rFonts w:ascii="Arial Narrow" w:eastAsia="Arial Narrow" w:hAnsi="Arial Narrow" w:cs="Arial Narrow"/>
          <w:b/>
          <w:bCs/>
          <w:i/>
          <w:iCs/>
          <w:sz w:val="16"/>
          <w:szCs w:val="16"/>
          <w:lang w:val="lv-LV"/>
        </w:rPr>
        <w:t>) Svarīgākās grāmatvedības uzskaites politikas (turpinājums)</w:t>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p>
    <w:p w:rsidR="00A5438E" w:rsidRPr="00D1358A" w:rsidP="008E47ED" w14:paraId="26F0EE75"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793F2C" w14:paraId="381DF93C" w14:textId="04779EB6">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Sagaidāmo kredītzaudējumu principi (turpinājums)</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75516E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65D0FF7" w14:textId="1F56BF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w:t>
      </w:r>
      <w:r w:rsidRPr="00D1358A" w:rsidR="0044035B">
        <w:rPr>
          <w:rFonts w:ascii="Arial Narrow" w:eastAsia="Arial Narrow" w:hAnsi="Arial Narrow" w:cs="Arial Narrow"/>
          <w:sz w:val="16"/>
          <w:szCs w:val="16"/>
          <w:lang w:val="lv-LV"/>
        </w:rPr>
        <w:t xml:space="preserve"> </w:t>
      </w:r>
      <w:r w:rsidRPr="00D1358A">
        <w:rPr>
          <w:rFonts w:ascii="Arial Narrow" w:eastAsia="Arial Narrow" w:hAnsi="Arial Narrow" w:cs="Arial Narrow"/>
          <w:sz w:val="16"/>
          <w:szCs w:val="16"/>
          <w:lang w:val="lv-LV"/>
        </w:rPr>
        <w:t xml:space="preserve">Dzīves cikls tiek aplēsts kā attiecīgā portfeļa vidējais atlikušais līgumā noteiktais termiņš. </w:t>
      </w:r>
    </w:p>
    <w:p w:rsidR="00A5438E" w:rsidRPr="00D1358A" w:rsidP="008E47ED" w14:paraId="3B3A1AFF" w14:textId="71EADDA9">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F2A7F2E" w14:textId="0610DBAB">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Sabiedrība var izvēlēties EAD vietā izmantot faktisko atlikumu un nepiemērot DDV rādītāju segmentiem ar paaugstinātu kredītrisku.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774DD7A" w14:textId="44E3C5F4">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ECL aprēķinie</w:t>
      </w:r>
      <w:r w:rsidRPr="00D1358A">
        <w:rPr>
          <w:rFonts w:ascii="Arial Narrow" w:eastAsia="Arial Narrow" w:hAnsi="Arial Narrow" w:cs="Arial Narrow"/>
          <w:sz w:val="16"/>
          <w:szCs w:val="16"/>
          <w:lang w:val="lv-LV"/>
        </w:rPr>
        <w:t xml:space="preserve">m Koncerns izmanto reizināšanas modeli, kas tiek piemērots visām stadijām: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9614F0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t>ECL=EAD*PD*LGD*[DDV]</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522E61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Tā kā DVV ir daudzdimensiāls vektors (12 vai 13 dimensijas, bet var būt īsāks, ja vēsturiskie dati ir pieejami par īsāku periodu) pirms multi</w:t>
      </w:r>
      <w:r w:rsidRPr="00D1358A">
        <w:rPr>
          <w:rFonts w:ascii="Arial Narrow" w:eastAsia="Arial Narrow" w:hAnsi="Arial Narrow" w:cs="Arial Narrow"/>
          <w:sz w:val="16"/>
          <w:szCs w:val="16"/>
          <w:lang w:val="lv-LV"/>
        </w:rPr>
        <w:t>plicēšanas to apkopo vienā vērtībā [DDV]. DDV apkopoto vērtību iegūst šādi: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6E0D824" w14:textId="5DFC0029">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  katru DDV vērtību pareizina ar diskonta faktoru; </w:t>
      </w:r>
    </w:p>
    <w:p w:rsidR="00A5438E" w:rsidRPr="00D1358A" w:rsidP="008E47ED" w14:paraId="3AD0BF3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diskonta faktoru aprēķina parastā veidā (piem., NPV formula), kur diskontu aprēķina par portfeļa EIR un periodu ska</w:t>
      </w:r>
      <w:r w:rsidRPr="00D1358A">
        <w:rPr>
          <w:rFonts w:ascii="Arial Narrow" w:eastAsia="Arial Narrow" w:hAnsi="Arial Narrow" w:cs="Arial Narrow"/>
          <w:sz w:val="16"/>
          <w:szCs w:val="16"/>
          <w:lang w:val="lv-LV"/>
        </w:rPr>
        <w:t>its atbilst attiecīgās DDV vērtības dimensijai;</w:t>
      </w:r>
    </w:p>
    <w:p w:rsidR="00A5438E" w:rsidRPr="00D1358A" w:rsidP="00137AFB" w14:paraId="58EF9396" w14:textId="279F0D1F">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[DDV] veido visu atbilstošo DDV vērtību reizinājumu summa ar atbilstošajiem diskonta faktoriem.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9FDC30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730903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Vispārējam ECL modelim tiek piemēroti šāda specifiski parametri, kas atkarīgi no klasifikāc</w:t>
      </w:r>
      <w:r w:rsidRPr="00D1358A">
        <w:rPr>
          <w:rFonts w:ascii="Arial Narrow" w:eastAsia="Arial Narrow" w:hAnsi="Arial Narrow" w:cs="Arial Narrow"/>
          <w:sz w:val="16"/>
          <w:szCs w:val="16"/>
          <w:lang w:val="lv-LV"/>
        </w:rPr>
        <w:t xml:space="preserve">ijas stadijas: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D19FE6D"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1. stadija: Aprēķina 12mECL.  12mECL uzkrājumus Koncerns aprēķina, izmantojot SNV un DDV rādītāju par 12 mēnešiem (vai mazāku termiņu, ja produkta dzīves cikls ir īsāks par 12 mēnešiem vai vēsturiskie dati ir pieejami par īsāku p</w:t>
      </w:r>
      <w:r w:rsidRPr="00D1358A">
        <w:rPr>
          <w:rFonts w:ascii="Arial Narrow" w:eastAsia="Arial Narrow" w:hAnsi="Arial Narrow" w:cs="Arial Narrow"/>
          <w:sz w:val="16"/>
          <w:szCs w:val="16"/>
          <w:lang w:val="lv-LV"/>
        </w:rPr>
        <w:t>eriodu). 12 mēnešu saistību neizpildes varbūtība tiek piemērota prognozētajam EAD rādītājam un pareizināta ar sagaidāmo LGD rādītāju un tad diskontēta ar aptuveno sākotnējo EIR, izmantojot DDV, šādi modelī ietverot laiku līdz saistību neizpildei.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4F682FD"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00C0A43" w14:textId="1E6DD0CA">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2. stadija: Ja tiek secināts, ka kopš sākotnējās atzīšanas ir būtiski pieaudzis kredīta kredītrisks, Koncerns atzīst uzkrājumus paredzamiem kredītu zaudējumiem. Procedūra ir līdzīga iepriekš aprakstītajai, bet PD un DDV rādītāji tiek aplēsti in</w:t>
      </w:r>
      <w:r w:rsidRPr="00D1358A">
        <w:rPr>
          <w:rFonts w:ascii="Arial Narrow" w:eastAsia="Arial Narrow" w:hAnsi="Arial Narrow" w:cs="Arial Narrow"/>
          <w:sz w:val="16"/>
          <w:szCs w:val="16"/>
          <w:lang w:val="lv-LV"/>
        </w:rPr>
        <w:t>strumenta dzīves ciklam. Paredzamais naudas deficīts tiek diskontēts ar aptuveno sākotnējo EIR, izmantojot DDV.</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8F28AF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P="00137AFB" w14:paraId="4D3C55FE" w14:textId="7C106030">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3. stadija: Kredītiem ar samazinātu kredītvērtību Koncerns atzīst dzīves ciklā sagaidāmos kredītzaudējumus. Šīs metode ir līdz</w:t>
      </w:r>
      <w:r w:rsidRPr="00D1358A">
        <w:rPr>
          <w:rFonts w:ascii="Arial Narrow" w:eastAsia="Arial Narrow" w:hAnsi="Arial Narrow" w:cs="Arial Narrow"/>
          <w:sz w:val="16"/>
          <w:szCs w:val="16"/>
          <w:lang w:val="lv-LV"/>
        </w:rPr>
        <w:t>īga tai, ko izmanto 2. stadijas aktīviem, un SNV rādītājs ir noteikts kā 100%.</w:t>
      </w:r>
      <w:r w:rsidRPr="00D1358A">
        <w:rPr>
          <w:rFonts w:ascii="Arial Narrow" w:eastAsia="Arial Narrow" w:hAnsi="Arial Narrow" w:cs="Arial Narrow"/>
          <w:sz w:val="16"/>
          <w:szCs w:val="16"/>
          <w:lang w:val="lv-LV"/>
        </w:rPr>
        <w:tab/>
      </w:r>
    </w:p>
    <w:p w:rsidR="00793F2C" w:rsidRPr="00D1358A" w:rsidP="00137AFB" w14:paraId="1B471ADC" w14:textId="77777777">
      <w:pPr>
        <w:keepLines/>
        <w:spacing w:after="0"/>
        <w:jc w:val="both"/>
        <w:rPr>
          <w:rFonts w:ascii="Arial Narrow" w:eastAsia="Arial Narrow" w:hAnsi="Arial Narrow" w:cs="Arial Narrow"/>
          <w:sz w:val="16"/>
          <w:szCs w:val="16"/>
          <w:lang w:val="lv-LV"/>
        </w:rPr>
      </w:pPr>
    </w:p>
    <w:p w:rsidR="00A5438E" w:rsidRPr="00D1358A" w:rsidP="008E47ED" w14:paraId="274913BE" w14:textId="0C2EDEB1">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Neatgūstamu debitoru parādu norakstīšana</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3987197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Jebkuru debitoru parādu Koncerns uzskata par pilnībā neatgūstamu un norakstāmu no bilances pilnā apmērā, ja ir izpildītas vis</w:t>
      </w:r>
      <w:r w:rsidRPr="00D1358A">
        <w:rPr>
          <w:rFonts w:ascii="Arial Narrow" w:eastAsia="Arial Narrow" w:hAnsi="Arial Narrow" w:cs="Arial Narrow"/>
          <w:sz w:val="16"/>
          <w:szCs w:val="16"/>
          <w:lang w:val="lv-LV"/>
        </w:rPr>
        <w:t>as juridiskās darbības, lai to atgūtu, un Koncernam nav pamatotas pārliecības, ka finanšu aktīvs tiks atgūts.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CC973A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765AD53" w14:textId="77777777">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Finanšu aktīvu, izņemot kre</w:t>
      </w:r>
      <w:r w:rsidRPr="00D1358A">
        <w:rPr>
          <w:rFonts w:ascii="Arial Narrow" w:eastAsia="Arial Narrow" w:hAnsi="Arial Narrow" w:cs="Arial Narrow"/>
          <w:b/>
          <w:bCs/>
          <w:sz w:val="16"/>
          <w:szCs w:val="16"/>
          <w:lang w:val="lv-LV"/>
        </w:rPr>
        <w:t xml:space="preserve">dītus un izsniegtos avansus, vērtības samazināšanās </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A5438E" w:rsidRPr="00D1358A" w:rsidP="008E47ED" w14:paraId="32B707B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Finanšu aktīvi, kuriem Koncerns aprēķina ECL individuāli vai portfeļa grupām, ir:</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2AFEB05" w14:textId="7058C823">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Citi klientu debitoru parādi/līgumu aktīvi</w:t>
      </w:r>
    </w:p>
    <w:p w:rsidR="00A5438E" w:rsidRPr="00D1358A" w:rsidP="008E47ED" w14:paraId="21D7FC1B" w14:textId="1902D1B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Pircēju un pasūtītāju parādi</w:t>
      </w:r>
    </w:p>
    <w:p w:rsidR="00A5438E" w:rsidRPr="00D1358A" w:rsidP="008E47ED" w14:paraId="75EF50C0" w14:textId="1C341BA5">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Aizdevumi saistītajām pus</w:t>
      </w:r>
      <w:r w:rsidRPr="00D1358A">
        <w:rPr>
          <w:rFonts w:ascii="Arial Narrow" w:eastAsia="Arial Narrow" w:hAnsi="Arial Narrow" w:cs="Arial Narrow"/>
          <w:sz w:val="16"/>
          <w:szCs w:val="16"/>
          <w:lang w:val="lv-LV"/>
        </w:rPr>
        <w:t>ēm</w:t>
      </w:r>
    </w:p>
    <w:p w:rsidR="00A5438E" w:rsidRPr="00D1358A" w:rsidP="008E47ED" w14:paraId="78F9D7BF" w14:textId="16154B55">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Nauda un naudas ekvivalenti</w:t>
      </w:r>
    </w:p>
    <w:p w:rsidR="00A5438E" w:rsidRPr="00D1358A" w:rsidP="00137AFB" w14:paraId="0921B0B0" w14:textId="49F7ACCF">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Finanšu garantijas</w:t>
      </w:r>
    </w:p>
    <w:p w:rsidR="00137AFB" w:rsidRPr="00D1358A" w:rsidP="008E47ED" w14:paraId="436C4C52" w14:textId="77777777">
      <w:pPr>
        <w:keepLines/>
        <w:spacing w:after="0"/>
        <w:jc w:val="both"/>
        <w:rPr>
          <w:rFonts w:ascii="Arial Narrow" w:eastAsia="Arial Narrow" w:hAnsi="Arial Narrow" w:cs="Arial Narrow"/>
          <w:b/>
          <w:bCs/>
          <w:sz w:val="16"/>
          <w:szCs w:val="16"/>
          <w:lang w:val="lv-LV"/>
        </w:rPr>
        <w:sectPr w:rsidSect="00B05740">
          <w:headerReference w:type="even" r:id="rId72"/>
          <w:headerReference w:type="default" r:id="rId73"/>
          <w:footerReference w:type="even" r:id="rId74"/>
          <w:footerReference w:type="default" r:id="rId75"/>
          <w:headerReference w:type="first" r:id="rId76"/>
          <w:footerReference w:type="first" r:id="rId77"/>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p>
    <w:p w:rsidR="00A5438E" w:rsidRPr="00D1358A" w:rsidP="008E47ED" w14:paraId="6C841744" w14:textId="4FC7EA17">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2. Nozīmīgu grāmatvedības uzskaites principu kopsavilkums (turpinājums)</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A5438E" w:rsidRPr="00D1358A" w:rsidP="008E47ED" w14:paraId="227D88E9" w14:textId="11DE227F">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d</w:t>
      </w:r>
      <w:r w:rsidRPr="00D1358A" w:rsidR="006E614D">
        <w:rPr>
          <w:rFonts w:ascii="Arial Narrow" w:eastAsia="Arial Narrow" w:hAnsi="Arial Narrow" w:cs="Arial Narrow"/>
          <w:b/>
          <w:bCs/>
          <w:i/>
          <w:iCs/>
          <w:sz w:val="16"/>
          <w:szCs w:val="16"/>
          <w:lang w:val="lv-LV"/>
        </w:rPr>
        <w:t>) Svarīgākās grāmatvedības uzskaites politikas (turpinājums)</w:t>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p>
    <w:p w:rsidR="00A5438E" w:rsidRPr="00D1358A" w:rsidP="008E47ED" w14:paraId="44FA1A33"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49CC0246" w14:textId="11DE1AEF">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Finanšu aktīvu, izņemot</w:t>
      </w:r>
      <w:r w:rsidRPr="00D1358A">
        <w:rPr>
          <w:rFonts w:ascii="Arial Narrow" w:eastAsia="Arial Narrow" w:hAnsi="Arial Narrow" w:cs="Arial Narrow"/>
          <w:b/>
          <w:bCs/>
          <w:i/>
          <w:iCs/>
          <w:sz w:val="16"/>
          <w:szCs w:val="16"/>
          <w:lang w:val="lv-LV"/>
        </w:rPr>
        <w:t xml:space="preserve"> kredītus un izsniegtos avansus, vērtības samazināšanās (turpinājums</w:t>
      </w:r>
      <w:r w:rsidRPr="00D1358A">
        <w:rPr>
          <w:rFonts w:ascii="Arial Narrow" w:eastAsia="Arial Narrow" w:hAnsi="Arial Narrow" w:cs="Arial Narrow"/>
          <w:sz w:val="16"/>
          <w:szCs w:val="16"/>
          <w:lang w:val="lv-LV"/>
        </w:rPr>
        <w:t>)</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28018E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748888B"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Citu klientu debitoru parādu/līgumu aktīvu vērtības samazināšanās (pircēju un pasūtītāju parādi)</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5207B5" w:rsidRPr="00D1358A" w:rsidP="005207B5" w14:paraId="45A9A85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2021. gadā transportlīdzekļu nomas produktam (pircēju un </w:t>
      </w:r>
      <w:r w:rsidRPr="00D1358A">
        <w:rPr>
          <w:rFonts w:ascii="Arial Narrow" w:eastAsia="Arial Narrow" w:hAnsi="Arial Narrow" w:cs="Arial Narrow"/>
          <w:sz w:val="16"/>
          <w:szCs w:val="16"/>
          <w:lang w:val="lv-LV"/>
        </w:rPr>
        <w:t>nomas parādi) Koncerns mainīja salīdzinošo vispārējo pieeju un aplēses ECL, pamatojoties uz vienkāršotu pieeju. Vienkāršota pieeja ECL aprēķināšanai ir pamatota ar produkta būtību – pircēju un pasūtītāju parādiem var piemērot nodrošinājuma matricu. Uzkrāju</w:t>
      </w:r>
      <w:r w:rsidRPr="00D1358A">
        <w:rPr>
          <w:rFonts w:ascii="Arial Narrow" w:eastAsia="Arial Narrow" w:hAnsi="Arial Narrow" w:cs="Arial Narrow"/>
          <w:sz w:val="16"/>
          <w:szCs w:val="16"/>
          <w:lang w:val="lv-LV"/>
        </w:rPr>
        <w:t>mu matrica ir nekas cits kā attiecīgo zaudējumu likmju piemērošana pircēju un pasūtītāju parādu nenomaksātajiem atlikumiem.</w:t>
      </w:r>
    </w:p>
    <w:p w:rsidR="005207B5" w:rsidRPr="00D1358A" w:rsidP="005207B5" w14:paraId="18AB7B48" w14:textId="77777777">
      <w:pPr>
        <w:keepLines/>
        <w:spacing w:after="0"/>
        <w:jc w:val="both"/>
        <w:rPr>
          <w:rFonts w:ascii="Arial Narrow" w:eastAsia="Arial Narrow" w:hAnsi="Arial Narrow" w:cs="Arial Narrow"/>
          <w:sz w:val="16"/>
          <w:szCs w:val="16"/>
          <w:lang w:val="lv-LV"/>
        </w:rPr>
      </w:pPr>
    </w:p>
    <w:p w:rsidR="005207B5" w:rsidRPr="00D1358A" w:rsidP="005207B5" w14:paraId="05A527B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Koncerns neņem vērā uz nākotni vērstu makroekonomisko faktoru transportlīdzekļu nomas produktam, jo </w:t>
      </w:r>
      <w:r w:rsidRPr="00D1358A">
        <w:rPr>
          <w:rFonts w:ascii="Arial Narrow" w:eastAsia="Arial Narrow" w:hAnsi="Arial Narrow" w:cs="Arial Narrow"/>
          <w:sz w:val="16"/>
          <w:szCs w:val="16"/>
          <w:lang w:val="lv-LV"/>
        </w:rPr>
        <w:t>​​</w:t>
      </w:r>
      <w:r w:rsidRPr="00D1358A">
        <w:rPr>
          <w:rFonts w:ascii="Arial Narrow" w:eastAsia="Arial Narrow" w:hAnsi="Arial Narrow" w:cs="Arial Narrow"/>
          <w:sz w:val="16"/>
          <w:szCs w:val="16"/>
          <w:lang w:val="lv-LV"/>
        </w:rPr>
        <w:t>attiecībā uz īstermiņa pircēj</w:t>
      </w:r>
      <w:r w:rsidRPr="00D1358A">
        <w:rPr>
          <w:rFonts w:ascii="Arial Narrow" w:eastAsia="Arial Narrow" w:hAnsi="Arial Narrow" w:cs="Arial Narrow"/>
          <w:sz w:val="16"/>
          <w:szCs w:val="16"/>
          <w:lang w:val="lv-LV"/>
        </w:rPr>
        <w:t>u un pasūtītāju parādiem uz nākotni vērstu ekonomisko scenāriju noteikšana ir mazāk nozīmīga, ņemot vērā to, ka kredītriska ekspozīcijas periodā būtiskas izmaiņas ekonomiskajos apstākļos var būt maz ticamas. , un vēsturiskās zaudējumu likmes varētu būt pie</w:t>
      </w:r>
      <w:r w:rsidRPr="00D1358A">
        <w:rPr>
          <w:rFonts w:ascii="Arial Narrow" w:eastAsia="Arial Narrow" w:hAnsi="Arial Narrow" w:cs="Arial Narrow"/>
          <w:sz w:val="16"/>
          <w:szCs w:val="16"/>
          <w:lang w:val="lv-LV"/>
        </w:rPr>
        <w:t>mērots pamats paredzamo nākotnes zaudējumu aplēsēm.</w:t>
      </w:r>
    </w:p>
    <w:p w:rsidR="005207B5" w:rsidRPr="00D1358A" w:rsidP="005207B5" w14:paraId="2BF05D0F" w14:textId="77777777">
      <w:pPr>
        <w:keepLines/>
        <w:spacing w:after="0"/>
        <w:jc w:val="both"/>
        <w:rPr>
          <w:rFonts w:ascii="Arial Narrow" w:eastAsia="Arial Narrow" w:hAnsi="Arial Narrow" w:cs="Arial Narrow"/>
          <w:sz w:val="16"/>
          <w:szCs w:val="16"/>
          <w:lang w:val="lv-LV"/>
        </w:rPr>
      </w:pPr>
    </w:p>
    <w:p w:rsidR="005207B5" w:rsidRPr="00D1358A" w:rsidP="005207B5" w14:paraId="7E6F617F" w14:textId="3F2EE549">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Lai izmantotu uzkrājumu matricu, Koncerns nosaka debitoru parādu grupēšanu, pamatojoties uz kavējuma dienām un parādu piedziņas stratēģiju, jo parādu piedziņas process izraisa svarīgus atskaites punktus,</w:t>
      </w:r>
      <w:r w:rsidRPr="00D1358A">
        <w:rPr>
          <w:rFonts w:ascii="Arial Narrow" w:eastAsia="Arial Narrow" w:hAnsi="Arial Narrow" w:cs="Arial Narrow"/>
          <w:sz w:val="16"/>
          <w:szCs w:val="16"/>
          <w:lang w:val="lv-LV"/>
        </w:rPr>
        <w:t xml:space="preserve"> kas ietekmē debitoru parāda atgūstamību, un piemēro diskontētas vēsturiskās atgūšanas likmes katram segmentam atsevišķi</w:t>
      </w:r>
    </w:p>
    <w:p w:rsidR="00A5438E" w:rsidRPr="00D1358A" w:rsidP="00137AFB" w14:paraId="3385B03B" w14:textId="3A457346">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AC6A7F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137AFB" w14:paraId="3446F404" w14:textId="33E28745">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Lai novērtētu ECL AS "Renti"nomas līgumiem, Sabiedrība piemēro to pašu modeli, kas izmantots finanšu nomas portfelim un a</w:t>
      </w:r>
      <w:r w:rsidRPr="00D1358A">
        <w:rPr>
          <w:rFonts w:ascii="Arial Narrow" w:eastAsia="Arial Narrow" w:hAnsi="Arial Narrow" w:cs="Arial Narrow"/>
          <w:sz w:val="16"/>
          <w:szCs w:val="16"/>
          <w:lang w:val="lv-LV"/>
        </w:rPr>
        <w:t>ttiecīgi salīdzina PD un LGD rādītājus ar to pašu portfeli. Stabila kredītvēsture nomas līgumiem nav uzskatāma par pietiekamu, tā tiek novērtēta ar pastiprinātu uzmanību Covid-19 izplatības ietekmes dēļ. Visprecīzākās ECL aplēses nomas līgumiem tiek nodroš</w:t>
      </w:r>
      <w:r w:rsidRPr="00D1358A">
        <w:rPr>
          <w:rFonts w:ascii="Arial Narrow" w:eastAsia="Arial Narrow" w:hAnsi="Arial Narrow" w:cs="Arial Narrow"/>
          <w:sz w:val="16"/>
          <w:szCs w:val="16"/>
          <w:lang w:val="lv-LV"/>
        </w:rPr>
        <w:t>inātas ar salīdzinošās izpētes palīdzību, jo nomas portfeļa vēsturiskie dati ir līdzīgi finanšu nomas portfeļa datiem. Nomas portfeļa operacionālie procesi ir tādi paši vai ļoti līdzīgi finanšu nomas portfeļa procesiem.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10C02B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4CFED7B"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 xml:space="preserve">Aizdevumu radniecīgām </w:t>
      </w:r>
      <w:r w:rsidRPr="00D1358A">
        <w:rPr>
          <w:rFonts w:ascii="Arial Narrow" w:eastAsia="Arial Narrow" w:hAnsi="Arial Narrow" w:cs="Arial Narrow"/>
          <w:i/>
          <w:iCs/>
          <w:sz w:val="16"/>
          <w:szCs w:val="16"/>
          <w:lang w:val="lv-LV"/>
        </w:rPr>
        <w:t>sabiedrībām vērtības samazināšanās</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17D675D5" w14:textId="6753F609">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Radniecīgo sabiedrību debitoru parādi ir pakļauti Koncerna kredītriskam. Tāpēc EC</w:t>
      </w:r>
      <w:r w:rsidRPr="00D1358A" w:rsidR="005207B5">
        <w:rPr>
          <w:rFonts w:ascii="Arial Narrow" w:eastAsia="Arial Narrow" w:hAnsi="Arial Narrow" w:cs="Arial Narrow"/>
          <w:sz w:val="16"/>
          <w:szCs w:val="16"/>
          <w:lang w:val="lv-LV"/>
        </w:rPr>
        <w:t>L</w:t>
      </w:r>
      <w:r w:rsidRPr="00D1358A">
        <w:rPr>
          <w:rFonts w:ascii="Arial Narrow" w:eastAsia="Arial Narrow" w:hAnsi="Arial Narrow" w:cs="Arial Narrow"/>
          <w:sz w:val="16"/>
          <w:szCs w:val="16"/>
          <w:lang w:val="lv-LV"/>
        </w:rPr>
        <w:t xml:space="preserve"> noteikšanā ir piemērots salīdzinošs PD un LGD rādītājs, kas balstīts uz Standard &amp; Poor's korporatīvās statistikas izpēti. LGD rādītājs ir noteikts, izvērtējot saistītās puses finanšu stāvokli.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0AB257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0C8BA2A"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Naudas un naudas ekvivalentu vērtības sama</w:t>
      </w:r>
      <w:r w:rsidRPr="00D1358A">
        <w:rPr>
          <w:rFonts w:ascii="Arial Narrow" w:eastAsia="Arial Narrow" w:hAnsi="Arial Narrow" w:cs="Arial Narrow"/>
          <w:i/>
          <w:iCs/>
          <w:sz w:val="16"/>
          <w:szCs w:val="16"/>
          <w:lang w:val="lv-LV"/>
        </w:rPr>
        <w:t>zināšanās</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137AFB" w14:paraId="5ADE21F3" w14:textId="146C226F">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Saistību neizpilde naudai un naudas ekvivalentiem iestājas brīdī, kad atlikumi netiek nokārtoti ierastajā bankas norēķinu termiņā, t.i., dažu dienu laikā. Tā kā dienu skaits līdz brīdim, kad riska darījums atbilstu 3.stadijas kritērijiem</w:t>
      </w:r>
      <w:r w:rsidRPr="00D1358A">
        <w:rPr>
          <w:rFonts w:ascii="Arial Narrow" w:eastAsia="Arial Narrow" w:hAnsi="Arial Narrow" w:cs="Arial Narrow"/>
          <w:sz w:val="16"/>
          <w:szCs w:val="16"/>
          <w:lang w:val="lv-LV"/>
        </w:rPr>
        <w:t>, t.i., iestātos saistību neizpilde, ir mazs, šie aktīvi tiek pārcelti no 1. stadijas tieši uz 3. stadiju. Naudai un naudas ekvivalentiem netiek piemērota 2. stadija, jo jebkurš kavējums nozīmē saistību neizpildi.</w:t>
      </w:r>
      <w:r w:rsidRPr="00D1358A">
        <w:rPr>
          <w:rFonts w:ascii="Arial Narrow" w:eastAsia="Arial Narrow" w:hAnsi="Arial Narrow" w:cs="Arial Narrow"/>
          <w:sz w:val="16"/>
          <w:szCs w:val="16"/>
          <w:lang w:val="lv-LV"/>
        </w:rPr>
        <w:tab/>
      </w:r>
    </w:p>
    <w:p w:rsidR="00A5438E" w:rsidRPr="00D1358A" w:rsidP="008E47ED" w14:paraId="16C94FA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401947B"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Finanšu garantijas</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0BAA1238" w14:textId="1371B0ED">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Gar</w:t>
      </w:r>
      <w:r w:rsidRPr="00D1358A">
        <w:rPr>
          <w:rFonts w:ascii="Arial Narrow" w:eastAsia="Arial Narrow" w:hAnsi="Arial Narrow" w:cs="Arial Narrow"/>
          <w:sz w:val="16"/>
          <w:szCs w:val="16"/>
          <w:lang w:val="lv-LV"/>
        </w:rPr>
        <w:t>antijas, kas neietilpst aizdevuma līguma nosacījumos, tiek uzskaitītas kā atsevišķas vienības, kurām nosaka ECL. Šim nolūkam ECL Koncerns aplēš, balstoties uz vērtību, kas noteikta sagaidāmajiem maksājumiem, kas kompensē turētājam radušos kredītu zaudējumu</w:t>
      </w:r>
      <w:r w:rsidRPr="00D1358A">
        <w:rPr>
          <w:rFonts w:ascii="Arial Narrow" w:eastAsia="Arial Narrow" w:hAnsi="Arial Narrow" w:cs="Arial Narrow"/>
          <w:sz w:val="16"/>
          <w:szCs w:val="16"/>
          <w:lang w:val="lv-LV"/>
        </w:rPr>
        <w:t xml:space="preserve">s. ECL tiek aprēķināti katrai garantijai atsevišķi.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689B88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137AFB" w14:paraId="6CB26223" w14:textId="0B9D3B35">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ECL uzkrājumi tiek veidoti, balstoties uz kredītu zaudējumiem, kas paredzami garantijas dzīves cikla laikā, izņemot, ja kopš garantijas izsniegšanas ir būtiski pieaudzis kredītrisks, ta</w:t>
      </w:r>
      <w:r w:rsidRPr="00D1358A">
        <w:rPr>
          <w:rFonts w:ascii="Arial Narrow" w:eastAsia="Arial Narrow" w:hAnsi="Arial Narrow" w:cs="Arial Narrow"/>
          <w:sz w:val="16"/>
          <w:szCs w:val="16"/>
          <w:lang w:val="lv-LV"/>
        </w:rPr>
        <w:t xml:space="preserve">d uzkrājumi tiek veidoti, balstoties uz 12 mēnešu laikā paredzamajiem kredītu zaudējumiem. Koncerna politika, kas paredzēta, lai noteiktu, vai kredītrisks ir būtiski pieaudzis, ir aprakstīta 3. piezīmē.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26BD20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D650D04"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Finanšu saistības</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38B12E5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04AA76E"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S</w:t>
      </w:r>
      <w:r w:rsidRPr="00D1358A">
        <w:rPr>
          <w:rFonts w:ascii="Arial Narrow" w:eastAsia="Arial Narrow" w:hAnsi="Arial Narrow" w:cs="Arial Narrow"/>
          <w:i/>
          <w:iCs/>
          <w:sz w:val="16"/>
          <w:szCs w:val="16"/>
          <w:lang w:val="lv-LV"/>
        </w:rPr>
        <w:t>ākotnējā atzīšana un novērtēšana</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4B05DDCF" w14:textId="29F52231">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Sākotnējās atzīšanas brīdī finanšu saistības tiek klasificētas kā patiesajā vērtībā novērtētas finanšu saistības ar pārvērtēšanas atzīšanu peļņas vai zaudējumu aprēķinā, kā aizdevumi un aizņēmumi vai kā kreditoru p</w:t>
      </w:r>
      <w:r w:rsidRPr="00D1358A">
        <w:rPr>
          <w:rFonts w:ascii="Arial Narrow" w:eastAsia="Arial Narrow" w:hAnsi="Arial Narrow" w:cs="Arial Narrow"/>
          <w:sz w:val="16"/>
          <w:szCs w:val="16"/>
          <w:lang w:val="lv-LV"/>
        </w:rPr>
        <w:t>arādi.</w:t>
      </w:r>
    </w:p>
    <w:p w:rsidR="00A5438E" w:rsidRPr="00D1358A" w:rsidP="008E47ED" w14:paraId="3B1B268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BA26A4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Visas finanšu saistības sākotnēji tiek atzītas patiesajā vērtībā, bet aizdevumu un aizņēmumu un kreditoru parādu gadījumā – atskaitot tieši attiecināmās darījuma izmaksas. Koncerna finanšu saistības ietver kreditoru parādus un aizņēmumus u</w:t>
      </w:r>
      <w:r w:rsidRPr="00D1358A">
        <w:rPr>
          <w:rFonts w:ascii="Arial Narrow" w:eastAsia="Arial Narrow" w:hAnsi="Arial Narrow" w:cs="Arial Narrow"/>
          <w:sz w:val="16"/>
          <w:szCs w:val="16"/>
          <w:lang w:val="lv-LV"/>
        </w:rPr>
        <w:t>n aizdevumus.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013FAC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987586A"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Turpmāka novērtēšana</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1857AAF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Finanšu saistību novērtējums ir atkarīgs no to klasifikācijas: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6473C2B" w14:textId="3C2D85A5">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     - Finanšu saistības, kas uzrādītas patiesajā vērtībā ar pārvērtēšanas atzīšanu apvienoto ienākumu pārskatā</w:t>
      </w:r>
    </w:p>
    <w:p w:rsidR="00A5438E" w:rsidRPr="00D1358A" w:rsidP="008E47ED" w14:paraId="25DC276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Finanšu saistības, kas uzrādītas patiesajā vērtībā ar pārvērtēšanas atzīšanu apvienoto ienākumu pārskatā, ietver tirdzniecībai turētas finanšu s</w:t>
      </w:r>
      <w:r w:rsidRPr="00D1358A">
        <w:rPr>
          <w:rFonts w:ascii="Arial Narrow" w:eastAsia="Arial Narrow" w:hAnsi="Arial Narrow" w:cs="Arial Narrow"/>
          <w:sz w:val="16"/>
          <w:szCs w:val="16"/>
          <w:lang w:val="lv-LV"/>
        </w:rPr>
        <w:t>aistības un tās finanšu saistības, kas sākotnējās atzīšanas brīdī ir klasificētas kā patiesajā vērtībā uzrādītas ar pārvērtēšanas atzīšanu apvienoto ienākumu pārskatā.</w:t>
      </w:r>
    </w:p>
    <w:p w:rsidR="00A5438E" w:rsidRPr="00D1358A" w:rsidP="008E47ED" w14:paraId="09E11FF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Finanšu saistības klasificē kā turētas tirdzniecībai, ja tās ir iegūtas, lai tuvākajā la</w:t>
      </w:r>
      <w:r w:rsidRPr="00D1358A">
        <w:rPr>
          <w:rFonts w:ascii="Arial Narrow" w:eastAsia="Arial Narrow" w:hAnsi="Arial Narrow" w:cs="Arial Narrow"/>
          <w:sz w:val="16"/>
          <w:szCs w:val="16"/>
          <w:lang w:val="lv-LV"/>
        </w:rPr>
        <w:t>ikā tiktu atpirktas. Arī nodalītus iegultos atvasinātos finanšu instrumentus klasificē kā turētus tirdzniecībai, izņemot, ja tie ir izmantoti kā riska ierobežošanas instrumenti.</w:t>
      </w:r>
    </w:p>
    <w:p w:rsidR="00A5438E" w:rsidRPr="00D1358A" w:rsidP="008E47ED" w14:paraId="1C95313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Peļņu vai zaudējumus no tirdzniecībai turētām saistībām atzīst apvienoto ienāk</w:t>
      </w:r>
      <w:r w:rsidRPr="00D1358A">
        <w:rPr>
          <w:rFonts w:ascii="Arial Narrow" w:eastAsia="Arial Narrow" w:hAnsi="Arial Narrow" w:cs="Arial Narrow"/>
          <w:sz w:val="16"/>
          <w:szCs w:val="16"/>
          <w:lang w:val="lv-LV"/>
        </w:rPr>
        <w:t>umu pārskatā.</w:t>
      </w:r>
    </w:p>
    <w:p w:rsidR="00375530" w:rsidP="00137AFB" w14:paraId="1F6CFAE5" w14:textId="77777777">
      <w:pPr>
        <w:keepLines/>
        <w:spacing w:after="0"/>
        <w:jc w:val="both"/>
        <w:rPr>
          <w:rFonts w:ascii="Arial Narrow" w:eastAsia="Arial Narrow" w:hAnsi="Arial Narrow" w:cs="Arial Narrow"/>
          <w:sz w:val="16"/>
          <w:szCs w:val="16"/>
          <w:lang w:val="lv-LV"/>
        </w:rPr>
        <w:sectPr w:rsidSect="00B05740">
          <w:headerReference w:type="even" r:id="rId78"/>
          <w:headerReference w:type="default" r:id="rId79"/>
          <w:footerReference w:type="even" r:id="rId80"/>
          <w:footerReference w:type="default" r:id="rId81"/>
          <w:headerReference w:type="first" r:id="rId82"/>
          <w:footerReference w:type="first" r:id="rId83"/>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r w:rsidRPr="00D1358A">
        <w:rPr>
          <w:rFonts w:ascii="Arial Narrow" w:eastAsia="Arial Narrow" w:hAnsi="Arial Narrow" w:cs="Arial Narrow"/>
          <w:sz w:val="16"/>
          <w:szCs w:val="16"/>
          <w:lang w:val="lv-LV"/>
        </w:rPr>
        <w:t>Finanšu saistības, kas sākotnējās atzīšanas brīdī ir uzrādītas patiesajā vērtībā ar pārvērtēšanas atzīšanu apvienoto ienākumu pārskatā, sākotnējās atzīšanas datumā uzrāda šajā kategorijā tikai tad, ja tās atbilst SFPS Nr.9 i</w:t>
      </w:r>
      <w:r w:rsidRPr="00D1358A">
        <w:rPr>
          <w:rFonts w:ascii="Arial Narrow" w:eastAsia="Arial Narrow" w:hAnsi="Arial Narrow" w:cs="Arial Narrow"/>
          <w:sz w:val="16"/>
          <w:szCs w:val="16"/>
          <w:lang w:val="lv-LV"/>
        </w:rPr>
        <w:t>ekļautajiem kritērijiem. Koncernam nav finanšu saistību, kas ir uzrādītas patiesajā vērtībā ar pārvērtēšanas atzīšanu apvienoto ienākumu pārskatā.</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137AFB" w14:paraId="28924893" w14:textId="230A2D63">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RPr="00D1358A" w:rsidP="00721F39" w14:paraId="269461EB" w14:textId="2A8A2715">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2. Nozīmīgu grāmatvedības uzskaites principu kopsavilkums (turpinājums)</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721F39" w:rsidRPr="00D1358A" w:rsidP="00721F39" w14:paraId="257D461F"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 xml:space="preserve">d) </w:t>
      </w:r>
      <w:r w:rsidRPr="00D1358A">
        <w:rPr>
          <w:rFonts w:ascii="Arial Narrow" w:eastAsia="Arial Narrow" w:hAnsi="Arial Narrow" w:cs="Arial Narrow"/>
          <w:b/>
          <w:bCs/>
          <w:i/>
          <w:iCs/>
          <w:sz w:val="16"/>
          <w:szCs w:val="16"/>
          <w:lang w:val="lv-LV"/>
        </w:rPr>
        <w:t>Svarīgākās grāmatvedības uzskaites politikas (turpinājums)</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0EF6FA8F" w14:textId="51F7CD41">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3F6FA8B" w14:textId="587C0595">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 xml:space="preserve">     - Aizdevumi un aizņēmumi</w:t>
      </w:r>
    </w:p>
    <w:p w:rsidR="00A5438E" w:rsidRPr="00D1358A" w:rsidP="008E47ED" w14:paraId="24F681F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Šī kategorija Koncernam ir vissvarīgākā. Pēc sākotnējās atzīšanas procentus nesoši</w:t>
      </w:r>
      <w:r w:rsidRPr="00D1358A">
        <w:rPr>
          <w:rFonts w:ascii="Arial Narrow" w:eastAsia="Arial Narrow" w:hAnsi="Arial Narrow" w:cs="Arial Narrow"/>
          <w:sz w:val="16"/>
          <w:szCs w:val="16"/>
          <w:lang w:val="lv-LV"/>
        </w:rPr>
        <w:t xml:space="preserve"> aizdevumi un aizņēmumi tiek novērtēti to amortizētajā iegādes vērtībā, izmantojot efektīvās procentu likmes metodi. Kad saistību atzīšana tiek pārtraukta, kā arī izmantojot amortizācijas procesu, tā rezultātā radusies peļņa vai zaudējumi tiek atspoguļoti </w:t>
      </w:r>
      <w:r w:rsidRPr="00D1358A">
        <w:rPr>
          <w:rFonts w:ascii="Arial Narrow" w:eastAsia="Arial Narrow" w:hAnsi="Arial Narrow" w:cs="Arial Narrow"/>
          <w:sz w:val="16"/>
          <w:szCs w:val="16"/>
          <w:lang w:val="lv-LV"/>
        </w:rPr>
        <w:t>apvienoto ienākumu pārskatā.</w:t>
      </w:r>
    </w:p>
    <w:p w:rsidR="00A5438E" w:rsidRPr="00D1358A" w:rsidP="008E47ED" w14:paraId="1FE57212"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Amortizētā vērtība tiek aprēķināta, ņemot vērā iegādes diskontu vai prēmiju, kā arī maksas vai izmaksas, kas veido neatņemamu efektīvās procentu likmes sastāvdaļu. EIR amortizācija ir iekļauta apvienoto ienākumu pārskatā kā fin</w:t>
      </w:r>
      <w:r w:rsidRPr="00D1358A">
        <w:rPr>
          <w:rFonts w:ascii="Arial Narrow" w:eastAsia="Arial Narrow" w:hAnsi="Arial Narrow" w:cs="Arial Narrow"/>
          <w:sz w:val="16"/>
          <w:szCs w:val="16"/>
          <w:lang w:val="lv-LV"/>
        </w:rPr>
        <w:t>anšu izmaksas.</w:t>
      </w:r>
    </w:p>
    <w:p w:rsidR="00A5438E" w:rsidRPr="00D1358A" w:rsidP="008E47ED" w14:paraId="4055E7FE" w14:textId="28EEFE12">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Šī kategorija ir piemērojama procentus nesošiem aizdevumiem un aizņēmumiem.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81C1AC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93BCA10"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Finanšu saistību izmaiņas</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137AFB" w14:paraId="12D8AA72" w14:textId="7395C351">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Izmaiņas finanšu saistībās Koncerns uzskata par būtiskām, balstoties uz kvalitatīviem faktoriem, un tad, ja to </w:t>
      </w:r>
      <w:r w:rsidRPr="00D1358A">
        <w:rPr>
          <w:rFonts w:ascii="Arial Narrow" w:eastAsia="Arial Narrow" w:hAnsi="Arial Narrow" w:cs="Arial Narrow"/>
          <w:sz w:val="16"/>
          <w:szCs w:val="16"/>
          <w:lang w:val="lv-LV"/>
        </w:rPr>
        <w:t>rezultātā rodas starpība starp finanšu saistību koriģēto diskontēto pašreizējo vērtību un sākotnēju uzskaites vērtību, un šādas starpības apjoms ir 10% vai vairāk. Ja izmaiņas ir būtiskas, tad atzīšanas pārtraukšanas brīdī tiek atzīta peļņa vai zaudējumi n</w:t>
      </w:r>
      <w:r w:rsidRPr="00D1358A">
        <w:rPr>
          <w:rFonts w:ascii="Arial Narrow" w:eastAsia="Arial Narrow" w:hAnsi="Arial Narrow" w:cs="Arial Narrow"/>
          <w:sz w:val="16"/>
          <w:szCs w:val="16"/>
          <w:lang w:val="lv-LV"/>
        </w:rPr>
        <w:t>o atzīšanas pārtraukšanas. Ja izmaiņu rezultātā nerodas būtiski atšķirīgas naudas plūsmas, izmaiņas neizraisa atzīšanas pārtraukšanu. Koncerns iegrāmato izmaiņu radītu peļņu vai zaudējumus, pamatojoties uz izmaiņām naudas plūsmā, kas diskontēta ar sākotnēj</w:t>
      </w:r>
      <w:r w:rsidRPr="00D1358A">
        <w:rPr>
          <w:rFonts w:ascii="Arial Narrow" w:eastAsia="Arial Narrow" w:hAnsi="Arial Narrow" w:cs="Arial Narrow"/>
          <w:sz w:val="16"/>
          <w:szCs w:val="16"/>
          <w:lang w:val="lv-LV"/>
        </w:rPr>
        <w:t>o EIR.</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D0F957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9E56C43"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 xml:space="preserve">Nebūtisku izmaiņu uzskaite </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137AFB" w14:paraId="7002CDAE" w14:textId="5372DEE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Ja naudas plūsmas, kas sagaidāmas no finanšu saistībām ar fiksētu likmi, tiek pārskatītas, izmaiņas līgumā paredzētajās nākotnes naudas plūsmās tiek diskontētas ar sākotnējo efektīvo procentu likmi un</w:t>
      </w:r>
      <w:r w:rsidRPr="00D1358A">
        <w:rPr>
          <w:rFonts w:ascii="Arial Narrow" w:eastAsia="Arial Narrow" w:hAnsi="Arial Narrow" w:cs="Arial Narrow"/>
          <w:sz w:val="16"/>
          <w:szCs w:val="16"/>
          <w:lang w:val="lv-LV"/>
        </w:rPr>
        <w:t xml:space="preserve"> tad veiktas atbilstošas izmaiņas uzskaites vērtībā. Starpību starp iepriekšējo uzskaites vērtību iegrāmato vai nu kā pozitīvu, vai kā negatīvu korekciju finanšu saistību uzskaites vērtībā, kas uzrādīta konsolidētajā finanšu stāvokļa pārskatā, kopā ar atbi</w:t>
      </w:r>
      <w:r w:rsidRPr="00D1358A">
        <w:rPr>
          <w:rFonts w:ascii="Arial Narrow" w:eastAsia="Arial Narrow" w:hAnsi="Arial Narrow" w:cs="Arial Narrow"/>
          <w:sz w:val="16"/>
          <w:szCs w:val="16"/>
          <w:lang w:val="lv-LV"/>
        </w:rPr>
        <w:t>lstošu samazinājumu vai pieaugumu procentu ieņēmumos/izdevumos, izmantojot efektīvās procentu likmes metodi.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699878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AF1B8B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Finanšu saistību uzskaites vērtība tiek koriģēta, ja Koncerns pārskata savas maksājumu vai ieņēmumu aplēses. Amortizētajā iegādes v</w:t>
      </w:r>
      <w:r w:rsidRPr="00D1358A">
        <w:rPr>
          <w:rFonts w:ascii="Arial Narrow" w:eastAsia="Arial Narrow" w:hAnsi="Arial Narrow" w:cs="Arial Narrow"/>
          <w:sz w:val="16"/>
          <w:szCs w:val="16"/>
          <w:lang w:val="lv-LV"/>
        </w:rPr>
        <w:t>ērtībā novērtētu finanšu saistību nosacījumu izmaiņas neizraisa to atzīšanas pārtraukšanu, bet gan tiek aprēķināta peļņa/zaudējumi no šādām izmaiņām. Koriģētā uzskaites vērtība tiek aprēķināta, pamatojoties uz sākotnējo efektīvo procentu likmi, un izmaiņas</w:t>
      </w:r>
      <w:r w:rsidRPr="00D1358A">
        <w:rPr>
          <w:rFonts w:ascii="Arial Narrow" w:eastAsia="Arial Narrow" w:hAnsi="Arial Narrow" w:cs="Arial Narrow"/>
          <w:sz w:val="16"/>
          <w:szCs w:val="16"/>
          <w:lang w:val="lv-LV"/>
        </w:rPr>
        <w:t xml:space="preserve"> uzskaites vērtībā uzskaita kā procentu ienākumus vai izdevumus (4. un 5. piezīme).</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66A404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P="00137AFB" w14:paraId="4D0C0068" w14:textId="69770D51">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Izmaiņas aktīva līgumā noteiktajās naudas plūsmās atzīst apvienoto ienākumu pārskatā, un izmainīto finanšu aktīva vai finanšu saistību uzskaites vērtību </w:t>
      </w:r>
      <w:r w:rsidRPr="00D1358A">
        <w:rPr>
          <w:rFonts w:ascii="Arial Narrow" w:eastAsia="Arial Narrow" w:hAnsi="Arial Narrow" w:cs="Arial Narrow"/>
          <w:sz w:val="16"/>
          <w:szCs w:val="16"/>
          <w:lang w:val="lv-LV"/>
        </w:rPr>
        <w:t>koriģē par veiktām izmaksām vai maksām, kuras tiek amortizētas atlikušā izmainītā instrumenta dzīves cikla laikā. Tādējādi izmaiņu veikšanas brīdī sākotnējā efektīvā procentu likme, kas noteikta pie sākotnējās atzīšanas, tiek pārskatīta, lai atspoguļotu ve</w:t>
      </w:r>
      <w:r w:rsidRPr="00D1358A">
        <w:rPr>
          <w:rFonts w:ascii="Arial Narrow" w:eastAsia="Arial Narrow" w:hAnsi="Arial Narrow" w:cs="Arial Narrow"/>
          <w:sz w:val="16"/>
          <w:szCs w:val="16"/>
          <w:lang w:val="lv-LV"/>
        </w:rPr>
        <w:t>iktās izmaksas vai maksas.</w:t>
      </w:r>
    </w:p>
    <w:p w:rsidR="00793F2C" w:rsidP="00137AFB" w14:paraId="1746C328" w14:textId="77777777">
      <w:pPr>
        <w:keepLines/>
        <w:spacing w:after="0"/>
        <w:jc w:val="both"/>
        <w:rPr>
          <w:rFonts w:ascii="Arial Narrow" w:eastAsia="Arial Narrow" w:hAnsi="Arial Narrow" w:cs="Arial Narrow"/>
          <w:sz w:val="16"/>
          <w:szCs w:val="16"/>
          <w:lang w:val="lv-LV"/>
        </w:rPr>
      </w:pPr>
    </w:p>
    <w:p w:rsidR="00793F2C" w:rsidRPr="00D1358A" w:rsidP="00793F2C" w14:paraId="20177E0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i/>
          <w:iCs/>
          <w:sz w:val="16"/>
          <w:szCs w:val="16"/>
          <w:lang w:val="lv-LV"/>
        </w:rPr>
        <w:t>Atzīšanas pārtraukšana</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4049A4E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Finanšu saistību atzīšana tiek pārtraukta, kad tās tiek nokārtotas, atceltas vai ir beidzies to termiņš. Gadījumos, kad esošas finanšu saistības tiek aizvietotas ar tā paša aizņēmēja citām saistīb</w:t>
      </w:r>
      <w:r w:rsidRPr="00D1358A">
        <w:rPr>
          <w:rFonts w:ascii="Arial Narrow" w:eastAsia="Arial Narrow" w:hAnsi="Arial Narrow" w:cs="Arial Narrow"/>
          <w:sz w:val="16"/>
          <w:szCs w:val="16"/>
          <w:lang w:val="lv-LV"/>
        </w:rPr>
        <w:t>ām, kuru nosacījumi ir būtiski atšķirīgi, vai esošo saistību nosacījumi tiek būtiski mainīti, šādu apmaiņu vai izmaiņas uzskata par sākotnējo saistību atzīšanas pārtraukšanu un jaunu saistību atzīšanu. Starpību atbilstošajās uzskaites vērtībās atzīst apvie</w:t>
      </w:r>
      <w:r w:rsidRPr="00D1358A">
        <w:rPr>
          <w:rFonts w:ascii="Arial Narrow" w:eastAsia="Arial Narrow" w:hAnsi="Arial Narrow" w:cs="Arial Narrow"/>
          <w:sz w:val="16"/>
          <w:szCs w:val="16"/>
          <w:lang w:val="lv-LV"/>
        </w:rPr>
        <w:t>noto ienākumu pārskatā.</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644943F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69C1E83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Izmaiņas Koncerns uzskata par būtiskām, balstoties uz kvalitatīviem faktoriem, un tad, ja to rezultātā rodas starpība starp finanšu saistību koriģēto diskontēto pašreizējo vērtību un sākotnēju uzskaites vērtību, u</w:t>
      </w:r>
      <w:r w:rsidRPr="00D1358A">
        <w:rPr>
          <w:rFonts w:ascii="Arial Narrow" w:eastAsia="Arial Narrow" w:hAnsi="Arial Narrow" w:cs="Arial Narrow"/>
          <w:sz w:val="16"/>
          <w:szCs w:val="16"/>
          <w:lang w:val="lv-LV"/>
        </w:rPr>
        <w:t>n šādas starpības apjoms ir 10% vai vairāk.</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4EF7A09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0CD88352"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Finanšu instrumentu savstarpējais ieskaits</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793F2C" w:rsidRPr="00D1358A" w:rsidP="00793F2C" w14:paraId="693298A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Finanšu aktīvus un saistības savstarpēji ieskaita un neto summu uzrāda pārskatā par finanšu stāvokli, tikai tādā gadījumā, ja ir spēkā </w:t>
      </w:r>
      <w:r w:rsidRPr="00D1358A">
        <w:rPr>
          <w:rFonts w:ascii="Arial Narrow" w:eastAsia="Arial Narrow" w:hAnsi="Arial Narrow" w:cs="Arial Narrow"/>
          <w:sz w:val="16"/>
          <w:szCs w:val="16"/>
          <w:lang w:val="lv-LV"/>
        </w:rPr>
        <w:t>esošas juridiskas tiesības veikt savstarpēju ieskaitu un atzīt summas, un pastāv nolūks veikt neto norēķinus vai pārdot aktīvu un nokārtot saistības vienlaicīgi.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55185EBE"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i/>
          <w:iCs/>
          <w:sz w:val="16"/>
          <w:szCs w:val="16"/>
          <w:lang w:val="lv-LV"/>
        </w:rPr>
        <w:t>Uzkrājumi finanšu garantijām un to uzskaite pārējās rezervēs</w:t>
      </w:r>
    </w:p>
    <w:p w:rsidR="00793F2C" w:rsidRPr="00D1358A" w:rsidP="00793F2C" w14:paraId="22F791D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Ja līgums atbilst finanšu garantijas līguma definīcijai, Koncerns kā emitents piemēro SFPS Nr. 9 noteiktās uzskaites un novērtēšanas prasības. SFPS Nr. 9 prasības tiek piemērotas visiem garantijas līgumiem, ieskaitot garantijas, kas izsniegtas kopīgā kontr</w:t>
      </w:r>
      <w:r w:rsidRPr="00D1358A">
        <w:rPr>
          <w:rFonts w:ascii="Arial Narrow" w:eastAsia="Arial Narrow" w:hAnsi="Arial Narrow" w:cs="Arial Narrow"/>
          <w:sz w:val="16"/>
          <w:szCs w:val="16"/>
          <w:lang w:val="lv-LV"/>
        </w:rPr>
        <w:t>olē esošu uzņēmumu starpā, kā arī garantijas, kuras mātes sabiedrības labā ir izsniegusi meitas sabiedrība. Ja Koncerna sabiedrība izsniedz garantiju kopīgā kontrolē esošas sabiedrības labā, finanšu pārskatā tiek atzīti atbilstoši uzkrājumi. Ja darījuma iz</w:t>
      </w:r>
      <w:r w:rsidRPr="00D1358A">
        <w:rPr>
          <w:rFonts w:ascii="Arial Narrow" w:eastAsia="Arial Narrow" w:hAnsi="Arial Narrow" w:cs="Arial Narrow"/>
          <w:sz w:val="16"/>
          <w:szCs w:val="16"/>
          <w:lang w:val="lv-LV"/>
        </w:rPr>
        <w:t>pildi veicina Koncerna akcionāri īpašnieku kapacitātē, Koncerns uzskaita šādus darījumus kā finanšu garantiju uzkrājumu pieaugumu un tiek veiktas attiecīgas izmaiņas pašu kapitālā (kā pašu kapitāla sadale). Pašu kapitāla sadali finanšu garantiju ietvaros a</w:t>
      </w:r>
      <w:r w:rsidRPr="00D1358A">
        <w:rPr>
          <w:rFonts w:ascii="Arial Narrow" w:eastAsia="Arial Narrow" w:hAnsi="Arial Narrow" w:cs="Arial Narrow"/>
          <w:sz w:val="16"/>
          <w:szCs w:val="16"/>
          <w:lang w:val="lv-LV"/>
        </w:rPr>
        <w:t xml:space="preserve">tzīst citu rezervju sastāvā.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0EA1BCE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6DD858F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Finanšu garantijas sākotnēji tiek atzītas patiesajā vērtībā. Izņemot gadījumus, kad finanšu garantijas līgums sākuma datumā tiek novērtēts patiesajā vērtībā ar pārvērtēšanas atzīšanu pārējo apvienoto ienākumu sa</w:t>
      </w:r>
      <w:r w:rsidRPr="00D1358A">
        <w:rPr>
          <w:rFonts w:ascii="Arial Narrow" w:eastAsia="Arial Narrow" w:hAnsi="Arial Narrow" w:cs="Arial Narrow"/>
          <w:sz w:val="16"/>
          <w:szCs w:val="16"/>
          <w:lang w:val="lv-LV"/>
        </w:rPr>
        <w:t>stāvā, Koncerna saistības katras atsevišķas garantijas ietvaros novērtē kā augstāko no sākotnēji atzītās summas, atskaitot peļņas vai zaudējumu un pārējo apvienoto ienākumu pārskatā atzīto kumulatīvo amortizāciju, un ECL uzkrājuma apjoma, kas izveidots sas</w:t>
      </w:r>
      <w:r w:rsidRPr="00D1358A">
        <w:rPr>
          <w:rFonts w:ascii="Arial Narrow" w:eastAsia="Arial Narrow" w:hAnsi="Arial Narrow" w:cs="Arial Narrow"/>
          <w:sz w:val="16"/>
          <w:szCs w:val="16"/>
          <w:lang w:val="lv-LV"/>
        </w:rPr>
        <w:t xml:space="preserve">kaņā ar SFPS Nr. 9 (kā aprakstīts 3. piezīmē). Amortizāciju atzīst apvienoto ienākumu pārskatā pārējo saimnieciskās darbības ieņēmumu sastāvā garantijas termiņa laikā, izmantojot lineāro metodi.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1FDA937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RPr="00D1358A" w:rsidP="00793F2C" w14:paraId="1F570C1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Finanšu garantijas atzīšanu pārtrauc, ja </w:t>
      </w:r>
      <w:r w:rsidRPr="00D1358A">
        <w:rPr>
          <w:rFonts w:ascii="Arial Narrow" w:eastAsia="Arial Narrow" w:hAnsi="Arial Narrow" w:cs="Arial Narrow"/>
          <w:sz w:val="16"/>
          <w:szCs w:val="16"/>
          <w:lang w:val="lv-LV"/>
        </w:rPr>
        <w:t>ir būtiski mainījušies garantijas nosacījumi. Izmaiņas garantijas limitā tiek uzskaitītas kā atzīšanas pārtraukšana. Šādos gadījumos sākotnējās garantijas atzīšanu pārtrauc, un atzīst jaunu garantiju tās patiesajā vērtībā. Izmaiņas patiesajā vērtībā atzīst</w:t>
      </w:r>
      <w:r w:rsidRPr="00D1358A">
        <w:rPr>
          <w:rFonts w:ascii="Arial Narrow" w:eastAsia="Arial Narrow" w:hAnsi="Arial Narrow" w:cs="Arial Narrow"/>
          <w:sz w:val="16"/>
          <w:szCs w:val="16"/>
          <w:lang w:val="lv-LV"/>
        </w:rPr>
        <w:t xml:space="preserve"> kā uzkrājumu finanšu garantijām samazinājumu vai palielinājumu un tiek veiktas atbilstošas izmaiņas citu rezervju sastāvā. Kad uzkrājumi finanšu garantijām tiek dzēsti, citas rezerves tiek pārnestas uz nesadalīto peļņu.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93F2C" w:rsidP="008E47ED" w14:paraId="001038E1" w14:textId="77777777">
      <w:pPr>
        <w:keepLines/>
        <w:spacing w:after="0"/>
        <w:jc w:val="both"/>
        <w:rPr>
          <w:rFonts w:ascii="Arial Narrow" w:eastAsia="Arial Narrow" w:hAnsi="Arial Narrow" w:cs="Arial Narrow"/>
          <w:sz w:val="16"/>
          <w:szCs w:val="16"/>
          <w:lang w:val="lv-LV"/>
        </w:rPr>
      </w:pPr>
    </w:p>
    <w:p w:rsidR="00793F2C" w:rsidRPr="00D1358A" w:rsidP="008E47ED" w14:paraId="13E7679D" w14:textId="4093C598">
      <w:pPr>
        <w:keepLines/>
        <w:spacing w:after="0"/>
        <w:jc w:val="both"/>
        <w:rPr>
          <w:rFonts w:ascii="Arial Narrow" w:eastAsia="Arial Narrow" w:hAnsi="Arial Narrow" w:cs="Arial Narrow"/>
          <w:sz w:val="16"/>
          <w:szCs w:val="16"/>
          <w:lang w:val="lv-LV"/>
        </w:rPr>
        <w:sectPr w:rsidSect="00B05740">
          <w:headerReference w:type="even" r:id="rId84"/>
          <w:headerReference w:type="default" r:id="rId85"/>
          <w:footerReference w:type="even" r:id="rId86"/>
          <w:footerReference w:type="default" r:id="rId87"/>
          <w:headerReference w:type="first" r:id="rId88"/>
          <w:footerReference w:type="first" r:id="rId89"/>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p>
    <w:p w:rsidR="00A5438E" w:rsidRPr="00D1358A" w:rsidP="008E47ED" w14:paraId="60788426" w14:textId="7F81069B">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2. No</w:t>
      </w:r>
      <w:r w:rsidRPr="00D1358A">
        <w:rPr>
          <w:rFonts w:ascii="Arial Narrow" w:eastAsia="Arial Narrow" w:hAnsi="Arial Narrow" w:cs="Arial Narrow"/>
          <w:b/>
          <w:bCs/>
          <w:sz w:val="16"/>
          <w:szCs w:val="16"/>
          <w:lang w:val="lv-LV"/>
        </w:rPr>
        <w:t>zīmīgu grāmatvedības uzskaites principu kopsavilkums (turpinājums)</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A5438E" w:rsidRPr="00D1358A" w:rsidP="008E47ED" w14:paraId="0A729500" w14:textId="20FEF6C8">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d</w:t>
      </w:r>
      <w:r w:rsidRPr="00D1358A" w:rsidR="006E614D">
        <w:rPr>
          <w:rFonts w:ascii="Arial Narrow" w:eastAsia="Arial Narrow" w:hAnsi="Arial Narrow" w:cs="Arial Narrow"/>
          <w:b/>
          <w:bCs/>
          <w:i/>
          <w:iCs/>
          <w:sz w:val="16"/>
          <w:szCs w:val="16"/>
          <w:lang w:val="lv-LV"/>
        </w:rPr>
        <w:t>) Svarīgākās grāmatvedības uzskaites politikas (turpinājums)</w:t>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p>
    <w:p w:rsidR="00A5438E" w:rsidRPr="00D1358A" w:rsidP="008E47ED" w14:paraId="68CAE9C1"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b/>
          <w:bCs/>
          <w:i/>
          <w:iCs/>
          <w:sz w:val="16"/>
          <w:szCs w:val="16"/>
          <w:lang w:val="lv-LV"/>
        </w:rPr>
        <w:t>Finanšu saistības (turpinājums)</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27C686B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0526CBA" w14:textId="38BEAC53">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 xml:space="preserve"> Finanšu noma – Koncerns kā iznomātājs </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521E5F9" w14:textId="05E5CD5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Kaut arī no finanšu nomas izrietošās prasības, kas ir finanšu instrumenti, kuriem ir piemērojamas SFPS Nr.16 prasības, ietilpst SGS Nr.32 un SFPS Nr.7 darbības apjomā, SFPS Nr.9 darbības apjomā t</w:t>
      </w:r>
      <w:r w:rsidRPr="00D1358A">
        <w:rPr>
          <w:rFonts w:ascii="Arial Narrow" w:eastAsia="Arial Narrow" w:hAnsi="Arial Narrow" w:cs="Arial Narrow"/>
          <w:sz w:val="16"/>
          <w:szCs w:val="16"/>
          <w:lang w:val="lv-LV"/>
        </w:rPr>
        <w:t>ās ietilpst vienīgi tādā apmērā, cik uz tām attiecas (1) atzīšanas pārtraukšanas nosacījumi, (2) prasības attiecībā uz paredzamajiem kredītu zaudējumiem un (3) prasības, kas attiecināmas uz atvasinātajiem finanšu instrumentiem, kas iegulti nomas ietvaros.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95A8BD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1B384E2"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Finanšu nomas darījumus Koncerns veic, pārdodot klientiem automašīnas, slēdzot finanšu nomas līgumus.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0448EE" w14:paraId="02196C7D" w14:textId="1804D23B">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Līguma noslēgšanas brīdī Koncerns izvērtē, vai līgums ir vai turpina būt nomas līgums vai tas ietver nomu: Nomas </w:t>
      </w:r>
      <w:r w:rsidRPr="00D1358A">
        <w:rPr>
          <w:rFonts w:ascii="Arial Narrow" w:eastAsia="Arial Narrow" w:hAnsi="Arial Narrow" w:cs="Arial Narrow"/>
          <w:sz w:val="16"/>
          <w:szCs w:val="16"/>
          <w:lang w:val="lv-LV"/>
        </w:rPr>
        <w:t>uzsākšanas datums ir nomas līguma parakstīšanas datums vai cita dokumenta, ar kuru puses apņēmušās pildīt galvenos nomas noteikumus, datums, atkarībā no tā, kurš no šiem datumiem ir pirmais. Šajā datumā:</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463AFA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nomu klasificē kā finanšu nomu; un</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F578FDD"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nosaka nomas termiņa sākumā atzīstamās summas.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D36E01B" w14:textId="0C01EE2A">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Nomas sākums ir datums, no kura nomniekam ir tiesības izmantot nomāto aktīvu. Tas ir nomas sākotnējās atzīšanas datums (t. i. aktīvu, saistību, ienākumu vai izdevumu uzskaite, kas atbilstoši raduš</w:t>
      </w:r>
      <w:r w:rsidRPr="00D1358A">
        <w:rPr>
          <w:rFonts w:ascii="Arial Narrow" w:eastAsia="Arial Narrow" w:hAnsi="Arial Narrow" w:cs="Arial Narrow"/>
          <w:sz w:val="16"/>
          <w:szCs w:val="16"/>
          <w:lang w:val="lv-LV"/>
        </w:rPr>
        <w:t>ies nomas rezultātā).</w:t>
      </w:r>
    </w:p>
    <w:p w:rsidR="00A5438E" w:rsidRPr="00D1358A" w:rsidP="008E47ED" w14:paraId="3D406F4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BFAFB25" w14:textId="411A74BC">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Nomu klasificē kā finanšu nomu, ja tās ietvaros nomniekam pēc būtības tiek nodoti visi īpašuma tiesībām raksturīgie riski un atlīdzības. Nomas uzsākšanas datums ir nomas līguma parakstīšanas datums vai cita dokumenta, ar kur</w:t>
      </w:r>
      <w:r w:rsidRPr="00D1358A">
        <w:rPr>
          <w:rFonts w:ascii="Arial Narrow" w:eastAsia="Arial Narrow" w:hAnsi="Arial Narrow" w:cs="Arial Narrow"/>
          <w:sz w:val="16"/>
          <w:szCs w:val="16"/>
          <w:lang w:val="lv-LV"/>
        </w:rPr>
        <w:t>u puses apņēmušās pildīt galvenos nomas noteikumus, datums, atkarībā no tā, kurš no šiem datumiem ir pirmais. Šajā datumā:</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6AEE2A0" w14:textId="057B31C5">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nomātā aktīva īpašuma tiesības tiek nodotas nomniekam nomas termiņa beigās;</w:t>
      </w:r>
    </w:p>
    <w:p w:rsidR="00A5438E" w:rsidRPr="00D1358A" w:rsidP="008E47ED" w14:paraId="7E38C653"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nomniekam ir iespēja nopirkt aktīvu par cenu, ku</w:t>
      </w:r>
      <w:r w:rsidRPr="00D1358A">
        <w:rPr>
          <w:rFonts w:ascii="Arial Narrow" w:eastAsia="Arial Narrow" w:hAnsi="Arial Narrow" w:cs="Arial Narrow"/>
          <w:sz w:val="16"/>
          <w:szCs w:val="16"/>
          <w:lang w:val="lv-LV"/>
        </w:rPr>
        <w:t>ra datumā, kad šo iespēju varēs izmantot, būtu pietiekami zemāka par patieso vērtību un nomas uzsākšanas datumā ir pietiekams pamats uzskatīt, ka nomnieks šo iespēju izmantos;</w:t>
      </w:r>
    </w:p>
    <w:p w:rsidR="00A5438E" w:rsidRPr="00D1358A" w:rsidP="008E47ED" w14:paraId="631D52D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nomas termiņš ietver būtiski lielāko daļu no aktīva saimnieciskās izmantošanas</w:t>
      </w:r>
      <w:r w:rsidRPr="00D1358A">
        <w:rPr>
          <w:rFonts w:ascii="Arial Narrow" w:eastAsia="Arial Narrow" w:hAnsi="Arial Narrow" w:cs="Arial Narrow"/>
          <w:sz w:val="16"/>
          <w:szCs w:val="16"/>
          <w:lang w:val="lv-LV"/>
        </w:rPr>
        <w:t xml:space="preserve"> laika pat tad, ja īpašuma tiesības nomas termiņa beigās netiek nodotas;</w:t>
      </w:r>
    </w:p>
    <w:p w:rsidR="00A5438E" w:rsidRPr="00D1358A" w:rsidP="008E47ED" w14:paraId="76FEEEB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minimālo nomas maksājumu pašreizējā vērtība nomas uzsākšanas datumā būtībā ir gandrīz vienāda ar visu iznomātā aktīva patieso vērtību;</w:t>
      </w:r>
    </w:p>
    <w:p w:rsidR="00A5438E" w:rsidRPr="00D1358A" w:rsidP="008E47ED" w14:paraId="2D18FE08" w14:textId="335B2A6B">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 iznomātie aktīvi ir tik specifiski, ka tos, </w:t>
      </w:r>
      <w:r w:rsidRPr="00D1358A">
        <w:rPr>
          <w:rFonts w:ascii="Arial Narrow" w:eastAsia="Arial Narrow" w:hAnsi="Arial Narrow" w:cs="Arial Narrow"/>
          <w:sz w:val="16"/>
          <w:szCs w:val="16"/>
          <w:lang w:val="lv-LV"/>
        </w:rPr>
        <w:t>būtiski nepārveidojot, var lietot tikai nomnieks.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F9DB9D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0F053CB" w14:textId="6230FDA6">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Citas norādes, kuras katra atsevišķi vai kombinācijā ar citām norādēm liecina par to, ka noma ir jāklasificē kā operatīvā noma:</w:t>
      </w:r>
    </w:p>
    <w:p w:rsidR="00A5438E" w:rsidRPr="00D1358A" w:rsidP="008E47ED" w14:paraId="1ECB339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 ja nomnieks var atcelt nomu, iznomātāja zaudējumus saistībā ar nomas atcelšanu sedz nomnieks; </w:t>
      </w:r>
    </w:p>
    <w:p w:rsidR="00A5438E" w:rsidRPr="00D1358A" w:rsidP="008E47ED" w14:paraId="74860A9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 ienākumi vai zaudējumi no atlikušās vērtības patiesās vērtības svārstībām ietekmē nomnieku; un </w:t>
      </w:r>
    </w:p>
    <w:p w:rsidR="00A5438E" w:rsidRPr="00D1358A" w:rsidP="000448EE" w14:paraId="60CA0C24" w14:textId="09844BC3">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nomnieks var turpināt nomas otru periodu par nomas maksu, k</w:t>
      </w:r>
      <w:r w:rsidRPr="00D1358A">
        <w:rPr>
          <w:rFonts w:ascii="Arial Narrow" w:eastAsia="Arial Narrow" w:hAnsi="Arial Narrow" w:cs="Arial Narrow"/>
          <w:sz w:val="16"/>
          <w:szCs w:val="16"/>
          <w:lang w:val="lv-LV"/>
        </w:rPr>
        <w:t>as ir būtiski zemāka par nomas maksu tirgū.</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24098A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32DBEEC"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Sākotnējais novērtējums</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4D0245AA" w14:textId="1B88DB1C">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Nomas sākumā finanšu nomu Koncerns uzskaita šādi:</w:t>
      </w:r>
    </w:p>
    <w:p w:rsidR="00A5438E" w:rsidRPr="00D1358A" w:rsidP="008E47ED" w14:paraId="6B37741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pārtrauc atzīt nomas aktīva uzskaites vērtību;</w:t>
      </w:r>
    </w:p>
    <w:p w:rsidR="00A5438E" w:rsidRPr="00D1358A" w:rsidP="008E47ED" w14:paraId="496E187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atzīst neto ieguldījumu nomā; un</w:t>
      </w:r>
    </w:p>
    <w:p w:rsidR="00A5438E" w:rsidRPr="00D1358A" w:rsidP="008E47ED" w14:paraId="1FAE1D72" w14:textId="4B7715A6">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peļņas vai zaudējumu aprēķinā</w:t>
      </w:r>
      <w:r w:rsidRPr="00D1358A">
        <w:rPr>
          <w:rFonts w:ascii="Arial Narrow" w:eastAsia="Arial Narrow" w:hAnsi="Arial Narrow" w:cs="Arial Narrow"/>
          <w:sz w:val="16"/>
          <w:szCs w:val="16"/>
          <w:lang w:val="lv-LV"/>
        </w:rPr>
        <w:t xml:space="preserve"> atzīst peļņu vai zaudējumus no pārdošanas.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47EDC9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0448EE" w14:paraId="38B86B0C" w14:textId="7EEB5BAA">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Finanšu nomas sākšanas brīdī Koncerns iegrāmato neto ieguldījumu nomā, kas sastāv no minimālo nomas maksājumu summas un bruto ieguldījuma nomā, atskaitot nenopelnītos finanšu nomas ienākumus. Sta</w:t>
      </w:r>
      <w:r w:rsidRPr="00D1358A">
        <w:rPr>
          <w:rFonts w:ascii="Arial Narrow" w:eastAsia="Arial Narrow" w:hAnsi="Arial Narrow" w:cs="Arial Narrow"/>
          <w:sz w:val="16"/>
          <w:szCs w:val="16"/>
          <w:lang w:val="lv-LV"/>
        </w:rPr>
        <w:t xml:space="preserve">rpību starp bruto ieguldījumu un tā pašreizējo vērtību iegrāmato kā nenopelnītos finanšu nomas ienākumus. Sākotnējās tiešās izmaksas, piemēram, klienta komisijas naudas un Koncerna samaksātās komisijas naudas automašīnu dīleriem, ietver no nomas izrietošo </w:t>
      </w:r>
      <w:r w:rsidRPr="00D1358A">
        <w:rPr>
          <w:rFonts w:ascii="Arial Narrow" w:eastAsia="Arial Narrow" w:hAnsi="Arial Narrow" w:cs="Arial Narrow"/>
          <w:sz w:val="16"/>
          <w:szCs w:val="16"/>
          <w:lang w:val="lv-LV"/>
        </w:rPr>
        <w:t>prasību sākotnējā novērtējumā. Aprēķini tiek veikti, izmantojot efektīvās procentu likmes metodi.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5EF765E"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E9CA0C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No klientiem saņemtos avansus un citus maksājumus iegrāmato finanšu stāvokļa pārskatā to saņemšanas brīdī un par to summu samazina no finanšu n</w:t>
      </w:r>
      <w:r w:rsidRPr="00D1358A">
        <w:rPr>
          <w:rFonts w:ascii="Arial Narrow" w:eastAsia="Arial Narrow" w:hAnsi="Arial Narrow" w:cs="Arial Narrow"/>
          <w:sz w:val="16"/>
          <w:szCs w:val="16"/>
          <w:lang w:val="lv-LV"/>
        </w:rPr>
        <w:t>omas izrietošas prasības pret klientu brīdī, kad tiek izrakstīts nākamā mēneša rēķins par līgumā paredzētajiem maksājumiem.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9D1E29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3EDA57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No klientiem saņemtos avansus finanšu pārskatos uzrāda atsevišķi saistību sastāvā, jo nav noteiktības par to, kā </w:t>
      </w:r>
      <w:r w:rsidRPr="00D1358A">
        <w:rPr>
          <w:rFonts w:ascii="Arial Narrow" w:eastAsia="Arial Narrow" w:hAnsi="Arial Narrow" w:cs="Arial Narrow"/>
          <w:sz w:val="16"/>
          <w:szCs w:val="16"/>
          <w:lang w:val="lv-LV"/>
        </w:rPr>
        <w:t>tie tiks izmantoti.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EF0FF6C" w14:textId="2EB703A4">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No klientiem saņemtos avansus uzrāda finanšu stāvokļa pārskatā to saņemšanas brīdī un tiek veikts norēķins pret attiecīgā klienta finanšu nomas debitoru parādiem.</w:t>
      </w:r>
    </w:p>
    <w:p w:rsidR="000448EE" w:rsidRPr="00D1358A" w:rsidP="008E47ED" w14:paraId="0CA6617F" w14:textId="77777777">
      <w:pPr>
        <w:keepLines/>
        <w:spacing w:after="0"/>
        <w:jc w:val="both"/>
        <w:rPr>
          <w:rFonts w:ascii="Arial Narrow" w:eastAsia="Arial Narrow" w:hAnsi="Arial Narrow" w:cs="Arial Narrow"/>
          <w:sz w:val="16"/>
          <w:szCs w:val="16"/>
          <w:lang w:val="lv-LV"/>
        </w:rPr>
      </w:pPr>
    </w:p>
    <w:p w:rsidR="008A37FE" w:rsidRPr="00D1358A" w:rsidP="008A37FE" w14:paraId="56E1AC6D" w14:textId="73B218C4">
      <w:pPr>
        <w:keepLines/>
        <w:tabs>
          <w:tab w:val="left" w:pos="1820"/>
        </w:tabs>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p>
    <w:p w:rsidR="008A37FE" w:rsidRPr="00D1358A" w:rsidP="008A37FE" w14:paraId="7A7D29BC" w14:textId="2AA0BE52">
      <w:pPr>
        <w:keepLines/>
        <w:tabs>
          <w:tab w:val="left" w:pos="1820"/>
        </w:tabs>
        <w:rPr>
          <w:rFonts w:ascii="Arial Narrow" w:eastAsia="Arial Narrow" w:hAnsi="Arial Narrow" w:cs="Arial Narrow"/>
          <w:sz w:val="16"/>
          <w:szCs w:val="16"/>
          <w:lang w:val="lv-LV"/>
        </w:rPr>
        <w:sectPr w:rsidSect="00B05740">
          <w:headerReference w:type="even" r:id="rId90"/>
          <w:headerReference w:type="default" r:id="rId91"/>
          <w:footerReference w:type="even" r:id="rId92"/>
          <w:footerReference w:type="default" r:id="rId93"/>
          <w:headerReference w:type="first" r:id="rId94"/>
          <w:footerReference w:type="first" r:id="rId95"/>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r w:rsidRPr="00D1358A">
        <w:rPr>
          <w:rFonts w:ascii="Arial Narrow" w:eastAsia="Arial Narrow" w:hAnsi="Arial Narrow" w:cs="Arial Narrow"/>
          <w:sz w:val="16"/>
          <w:szCs w:val="16"/>
          <w:lang w:val="lv-LV"/>
        </w:rPr>
        <w:tab/>
      </w:r>
    </w:p>
    <w:p w:rsidR="00A5438E" w:rsidRPr="00D1358A" w:rsidP="008E47ED" w14:paraId="0E83B97D" w14:textId="26287E2C">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 xml:space="preserve">2. Nozīmīgu grāmatvedības </w:t>
      </w:r>
      <w:r w:rsidRPr="00D1358A">
        <w:rPr>
          <w:rFonts w:ascii="Arial Narrow" w:eastAsia="Arial Narrow" w:hAnsi="Arial Narrow" w:cs="Arial Narrow"/>
          <w:b/>
          <w:bCs/>
          <w:sz w:val="16"/>
          <w:szCs w:val="16"/>
          <w:lang w:val="lv-LV"/>
        </w:rPr>
        <w:t>uzskaites principu kopsavilkums (turpinājums)</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A5438E" w:rsidRPr="00D1358A" w:rsidP="008E47ED" w14:paraId="6E6FAF6C" w14:textId="17462A6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d</w:t>
      </w:r>
      <w:r w:rsidRPr="00D1358A" w:rsidR="006E614D">
        <w:rPr>
          <w:rFonts w:ascii="Arial Narrow" w:eastAsia="Arial Narrow" w:hAnsi="Arial Narrow" w:cs="Arial Narrow"/>
          <w:b/>
          <w:bCs/>
          <w:i/>
          <w:iCs/>
          <w:sz w:val="16"/>
          <w:szCs w:val="16"/>
          <w:lang w:val="lv-LV"/>
        </w:rPr>
        <w:t>) Svarīgākās grāmatvedības uzskaites politikas (turpinājums)</w:t>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p>
    <w:p w:rsidR="00A5438E" w:rsidRPr="00D1358A" w:rsidP="008E47ED" w14:paraId="4DA9B938"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03338445" w14:textId="68FB99BF">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 xml:space="preserve"> Finanšu noma – Koncerns kā iznomātājs (turpinājums)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A660642"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70AFED9"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Turpmāka novērtēšana</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997916" w14:paraId="40BF897F" w14:textId="328665C9">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Finanšu nomas ienākumi sastāv no nenopelnīto finanšu nomas ienākumu amortizācijas. Finanšu nomas ienākumi tiek atzīti, balstoties uz modeli, kas atspoguļo pastāvīgu periodisku neto ieguldījuma atdeves likmi saskaņā ar konkrētajā finanšu nomā piemēroto efek</w:t>
      </w:r>
      <w:r w:rsidRPr="00D1358A">
        <w:rPr>
          <w:rFonts w:ascii="Arial Narrow" w:eastAsia="Arial Narrow" w:hAnsi="Arial Narrow" w:cs="Arial Narrow"/>
          <w:sz w:val="16"/>
          <w:szCs w:val="16"/>
          <w:lang w:val="lv-LV"/>
        </w:rPr>
        <w:t>tīvo procentu likmi. Bruto ieguldījumu nomā Koncerns samazina par nomas maksājumiem, kas attiecināmi uz konkrētu periodu, samazinot gan pamatsummas apmēru, gan nenopelnītos finanšu ienākumus.</w:t>
      </w:r>
    </w:p>
    <w:p w:rsidR="00A5438E" w:rsidRPr="00D1358A" w:rsidP="008E47ED" w14:paraId="0F0AAE9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7D9C94D" w14:textId="4F8C9F0C">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Ienākumus no mainīgiem maksājumiem, kas nav ietverti n</w:t>
      </w:r>
      <w:r w:rsidRPr="00D1358A">
        <w:rPr>
          <w:rFonts w:ascii="Arial Narrow" w:eastAsia="Arial Narrow" w:hAnsi="Arial Narrow" w:cs="Arial Narrow"/>
          <w:sz w:val="16"/>
          <w:szCs w:val="16"/>
          <w:lang w:val="lv-LV"/>
        </w:rPr>
        <w:t xml:space="preserve">eto ieguldījumā nomā (piem., tādi no izpildes atkarīgi maksājumi kā soda naudas vai parādu piedziņas ienākumi) Koncerns atzīst atsevišķi tajā periodā, kurā tie tiek gūti.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90C6A02"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C4BC32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Šādus ienākumus atzīst “Komisijas naudas ienākumu” sastāvā (7. piez</w:t>
      </w:r>
      <w:r w:rsidRPr="00D1358A">
        <w:rPr>
          <w:rFonts w:ascii="Arial Narrow" w:eastAsia="Arial Narrow" w:hAnsi="Arial Narrow" w:cs="Arial Narrow"/>
          <w:sz w:val="16"/>
          <w:szCs w:val="16"/>
          <w:lang w:val="lv-LV"/>
        </w:rPr>
        <w:t xml:space="preserve">īme).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18B0670" w14:textId="0B08114E">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Pēc nomas sākuma neto ieguldījums nomā tiek pārvērtēts, izņemot gadījumus, kad nomas nosacījumi ir izmainīti un izmainītā noma netiek uzskaitīta kā atsevišķs līgums vai nomas termiņš ir pārskatīts, mainot nomas neatceļamo periodu.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D82CAE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DAF066A" w14:textId="79D5681D">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Neto ieguldījumam nomā Koncerns piemēro SFPS Nr.9 noteiktās atzīšanas pārtraukšanas un vērtības samazinājuma noteikšanas prasības. </w:t>
      </w:r>
      <w:r w:rsidRPr="00D1358A">
        <w:rPr>
          <w:rFonts w:ascii="Arial Narrow" w:eastAsia="Arial Narrow" w:hAnsi="Arial Narrow" w:cs="Arial Narrow"/>
          <w:sz w:val="16"/>
          <w:szCs w:val="16"/>
          <w:lang w:val="lv-LV"/>
        </w:rPr>
        <w:tab/>
      </w:r>
    </w:p>
    <w:p w:rsidR="00A5438E" w:rsidRPr="00D1358A" w:rsidP="008E47ED" w14:paraId="4E95EC2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89126E6"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 xml:space="preserve">Operatīvā noma – Koncerns kā iznomātājs </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531830" w14:paraId="61538B27" w14:textId="303966FC">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Noma, kuras ietvaros Koncerns nenodod būtībā visus ar a</w:t>
      </w:r>
      <w:r w:rsidRPr="00D1358A">
        <w:rPr>
          <w:rFonts w:ascii="Arial Narrow" w:eastAsia="Arial Narrow" w:hAnsi="Arial Narrow" w:cs="Arial Narrow"/>
          <w:sz w:val="16"/>
          <w:szCs w:val="16"/>
          <w:lang w:val="lv-LV"/>
        </w:rPr>
        <w:t xml:space="preserve">ktīva īpašumtiesībām saistītos riskus un atlīdzības, tiek klasificēta kā operatīvā noma. Nomas ienākumi tiek uzskaitīti saskaņā ar lineāro metodi visā nomas perioda laikā un konsolidētajā apvienoto ienākumu pārskatā uzrādīti kā ieņēmumi. Sākotnējās tiešās </w:t>
      </w:r>
      <w:r w:rsidRPr="00D1358A">
        <w:rPr>
          <w:rFonts w:ascii="Arial Narrow" w:eastAsia="Arial Narrow" w:hAnsi="Arial Narrow" w:cs="Arial Narrow"/>
          <w:sz w:val="16"/>
          <w:szCs w:val="16"/>
          <w:lang w:val="lv-LV"/>
        </w:rPr>
        <w:t xml:space="preserve">izmaksas, kas radušās operatīvās nomas saskaņošanas gaitā, tiek pievienotas nomātā aktīva uzskaites vērtībai un atzītas nomas perioda laikā saskaņā ar tādiem pašiem principiem kā nomas ienākumi. Ārpusbilances nomas maksas tiek atzītas izdevumos brīdī, kad </w:t>
      </w:r>
      <w:r w:rsidRPr="00D1358A">
        <w:rPr>
          <w:rFonts w:ascii="Arial Narrow" w:eastAsia="Arial Narrow" w:hAnsi="Arial Narrow" w:cs="Arial Narrow"/>
          <w:sz w:val="16"/>
          <w:szCs w:val="16"/>
          <w:lang w:val="lv-LV"/>
        </w:rPr>
        <w:t>tās radušās.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D0E3EA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68613DD"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 xml:space="preserve">Koncerns kā nomnieks </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60B4C98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Nomas saistības</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2A4C58C"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Sākotnējā atzīšana</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563B3C7D"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Nomas sākuma datumā nomas saistības Koncerns novērtē to nomas maksājumu pašreizējā vērtībā, kas tajā datumā nav samaksāti saskaņā ar nomas termiņ</w:t>
      </w:r>
      <w:r w:rsidRPr="00D1358A">
        <w:rPr>
          <w:rFonts w:ascii="Arial Narrow" w:eastAsia="Arial Narrow" w:hAnsi="Arial Narrow" w:cs="Arial Narrow"/>
          <w:sz w:val="16"/>
          <w:szCs w:val="16"/>
          <w:lang w:val="lv-LV"/>
        </w:rPr>
        <w:t>u. Nomas saistību novērtēšanā tiek ņemti vērā šādi nomas maksājumi: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8D20D8D" w14:textId="426D892B">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fiksētie maksājumi (ieskaitot maksājumus, kas pēc būtības ir fiksēti), atskaitot saņemamus nomas stimulus;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D5EC094" w14:textId="7F3413D4">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mainīgie nomas maksājumi, kas ir atkarīgi no indeksa vai lik</w:t>
      </w:r>
      <w:r w:rsidRPr="00D1358A">
        <w:rPr>
          <w:rFonts w:ascii="Arial Narrow" w:eastAsia="Arial Narrow" w:hAnsi="Arial Narrow" w:cs="Arial Narrow"/>
          <w:sz w:val="16"/>
          <w:szCs w:val="16"/>
          <w:lang w:val="lv-LV"/>
        </w:rPr>
        <w:t>mes, kas sākotnēji novērtēti, izmantojot konkrēto indeksu vai likmi nomas sākuma datumā;</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70EA5E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summas, kuras Koncernam ir paredzēts maksāt saskaņā ar atlikušās vērtības garantijām;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7FED12D" w14:textId="0BE9AAB9">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 pirkuma opcijas izmantošanas cena apstākļos, kad ir pietiekams </w:t>
      </w:r>
      <w:r w:rsidRPr="00D1358A">
        <w:rPr>
          <w:rFonts w:ascii="Arial Narrow" w:eastAsia="Arial Narrow" w:hAnsi="Arial Narrow" w:cs="Arial Narrow"/>
          <w:sz w:val="16"/>
          <w:szCs w:val="16"/>
          <w:lang w:val="lv-LV"/>
        </w:rPr>
        <w:t>pamats uzskatīt, ka Koncerns izmantos šo opciju; un</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5AB91C6" w14:textId="60BE74A9">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soda naudas maksājumi par nomas pārtraukšanu, ja nomas termiņš atspoguļo to, ka Koncerns ir izmantojis iespēju pārtraukt nomu.</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2043E63"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7DA0D31" w14:textId="058E676B">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Attiecībā uz visām nomas aktīvu klasēm Koncerns ir </w:t>
      </w:r>
      <w:r w:rsidRPr="00D1358A">
        <w:rPr>
          <w:rFonts w:ascii="Arial Narrow" w:eastAsia="Arial Narrow" w:hAnsi="Arial Narrow" w:cs="Arial Narrow"/>
          <w:sz w:val="16"/>
          <w:szCs w:val="16"/>
          <w:lang w:val="lv-LV"/>
        </w:rPr>
        <w:t>pieņēmis lēmumu nomas maksājumos nenodalīt nenomas komponentus no nomas komponentiem. Tā vietā katru nomas komponentu un ar to saistītos nenomas komponentus Koncerns uzskaita kā vienotu nomas komponentu. Nomas maksājumus diskontē, izmantojot konkrētās noma</w:t>
      </w:r>
      <w:r w:rsidRPr="00D1358A">
        <w:rPr>
          <w:rFonts w:ascii="Arial Narrow" w:eastAsia="Arial Narrow" w:hAnsi="Arial Narrow" w:cs="Arial Narrow"/>
          <w:sz w:val="16"/>
          <w:szCs w:val="16"/>
          <w:lang w:val="lv-LV"/>
        </w:rPr>
        <w:t xml:space="preserve">s netiešo procentu likmi, ja to ir iespējams viegli noteikt. Ja šo likmi nav iespējams viegli noteikt, Koncerns izmanto pieaugošo aizņēmumu likmi. </w:t>
      </w:r>
    </w:p>
    <w:p w:rsidR="00A5438E" w:rsidRPr="00D1358A" w:rsidP="008E47ED" w14:paraId="3B7FC7F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026C2E5" w14:textId="2CBCB6E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Nomas termiņš ir neatceļamais periods, kura laikā Koncernam ir tiesības izmantot nomas aktīvu kopā</w:t>
      </w:r>
      <w:r w:rsidRPr="00D1358A">
        <w:rPr>
          <w:rFonts w:ascii="Arial Narrow" w:eastAsia="Arial Narrow" w:hAnsi="Arial Narrow" w:cs="Arial Narrow"/>
          <w:sz w:val="16"/>
          <w:szCs w:val="16"/>
          <w:lang w:val="lv-LV"/>
        </w:rPr>
        <w:t xml:space="preserve"> ar:</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A0FA135" w14:textId="5EC17E8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 periodiem, kuriem piemērojama opcija pagarināt nomas termiņu, ja pastāv pietiekams pamats uzskatīt, ka Koncerns izmantos šo opciju; un</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4A85C2D"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(b) periodiem, kuriem piemērojama opcija pārtraukt nomu, ja pastāv pietiekams pamats uzskatīt, ka Koncerns neizmantos šo opciju.</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4822F1" w14:paraId="0ECDBA6B" w14:textId="401FED3D">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Sākumā datumā Koncerns izvērtē, vai pastāv pietiekams pamats uzskatīt, ka Koncerns izmantos opciju pagarināt nomu vai </w:t>
      </w:r>
      <w:r w:rsidRPr="00D1358A">
        <w:rPr>
          <w:rFonts w:ascii="Arial Narrow" w:eastAsia="Arial Narrow" w:hAnsi="Arial Narrow" w:cs="Arial Narrow"/>
          <w:sz w:val="16"/>
          <w:szCs w:val="16"/>
          <w:lang w:val="lv-LV"/>
        </w:rPr>
        <w:t>iegādāties nomas aktīvu, un neizmantos opciju pārtraukt nomu.</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5755A6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21A4930"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Turpmāka novērtēšana</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45765E2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Pēc sākuma datuma Koncerns novērtē nomas saistības: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906BBF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palielinot to uzskaites vērtību, atspoguļojot procentus par nomas saistībām;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2669DC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s</w:t>
      </w:r>
      <w:r w:rsidRPr="00D1358A">
        <w:rPr>
          <w:rFonts w:ascii="Arial Narrow" w:eastAsia="Arial Narrow" w:hAnsi="Arial Narrow" w:cs="Arial Narrow"/>
          <w:sz w:val="16"/>
          <w:szCs w:val="16"/>
          <w:lang w:val="lv-LV"/>
        </w:rPr>
        <w:t>amazinot uzskaites vērtību, atspoguļojot veiktos nomas maksājumus; un</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5BF65A1" w14:textId="43221630">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pārvērtējot uzskaites vērtību, lai atspoguļotu nomas pārvērtēšanu vai izmaiņas, vai atspoguļotu pārskatītus tos nomas maksājumus, kas pēc būtības ir fiksēti.</w:t>
      </w:r>
    </w:p>
    <w:p w:rsidR="00A5438E" w:rsidRPr="00D1358A" w:rsidP="008E47ED" w14:paraId="4AAAD43D"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69D00A7"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Lietoša</w:t>
      </w:r>
      <w:r w:rsidRPr="00D1358A">
        <w:rPr>
          <w:rFonts w:ascii="Arial Narrow" w:eastAsia="Arial Narrow" w:hAnsi="Arial Narrow" w:cs="Arial Narrow"/>
          <w:b/>
          <w:bCs/>
          <w:i/>
          <w:iCs/>
          <w:sz w:val="16"/>
          <w:szCs w:val="16"/>
          <w:lang w:val="lv-LV"/>
        </w:rPr>
        <w:t>nas tiesību aktīvi</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202ECE0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i/>
          <w:iCs/>
          <w:sz w:val="16"/>
          <w:szCs w:val="16"/>
          <w:lang w:val="lv-LV"/>
        </w:rPr>
        <w:t>Sākotnējā atzīšana</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EA1ACD8" w14:textId="2F96211F">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Nomas sākuma datumā Koncerns atzīst lietošanas tiesību aktīvu, kas novērtēts iegādes izmaksās. Lietošanas tiesību aktīva iegādes izmaksas ietver:</w:t>
      </w:r>
    </w:p>
    <w:p w:rsidR="00A5438E" w:rsidRPr="00D1358A" w:rsidP="008E47ED" w14:paraId="5B70A1F3"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nomas saistību sākotnējā novērtējuma summu;</w:t>
      </w:r>
    </w:p>
    <w:p w:rsidR="00AF09B8" w:rsidP="008E47ED" w14:paraId="1DEEAC83" w14:textId="77777777">
      <w:pPr>
        <w:keepLines/>
        <w:spacing w:after="0"/>
        <w:jc w:val="both"/>
        <w:rPr>
          <w:rFonts w:ascii="Arial Narrow" w:eastAsia="Arial Narrow" w:hAnsi="Arial Narrow" w:cs="Arial Narrow"/>
          <w:sz w:val="16"/>
          <w:szCs w:val="16"/>
          <w:lang w:val="lv-LV"/>
        </w:rPr>
        <w:sectPr w:rsidSect="00B05740">
          <w:headerReference w:type="even" r:id="rId96"/>
          <w:headerReference w:type="default" r:id="rId97"/>
          <w:footerReference w:type="even" r:id="rId98"/>
          <w:footerReference w:type="default" r:id="rId99"/>
          <w:headerReference w:type="first" r:id="rId100"/>
          <w:footerReference w:type="first" r:id="rId101"/>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r w:rsidRPr="00D1358A">
        <w:rPr>
          <w:rFonts w:ascii="Arial Narrow" w:eastAsia="Arial Narrow" w:hAnsi="Arial Narrow" w:cs="Arial Narrow"/>
          <w:sz w:val="16"/>
          <w:szCs w:val="16"/>
          <w:lang w:val="lv-LV"/>
        </w:rPr>
        <w:t xml:space="preserve">• nomas </w:t>
      </w:r>
      <w:r w:rsidRPr="00D1358A">
        <w:rPr>
          <w:rFonts w:ascii="Arial Narrow" w:eastAsia="Arial Narrow" w:hAnsi="Arial Narrow" w:cs="Arial Narrow"/>
          <w:sz w:val="16"/>
          <w:szCs w:val="16"/>
          <w:lang w:val="lv-LV"/>
        </w:rPr>
        <w:t>maksājumus, kas veikti sākuma datumā vai pirms tā, atskaitot saņemtus nomas stimulus;</w:t>
      </w:r>
    </w:p>
    <w:p w:rsidR="00A5438E" w:rsidRPr="00D1358A" w:rsidP="008E47ED" w14:paraId="0B01CC0F" w14:textId="77777777">
      <w:pPr>
        <w:keepLines/>
        <w:spacing w:after="0"/>
        <w:jc w:val="both"/>
        <w:rPr>
          <w:rFonts w:ascii="Arial Narrow" w:eastAsia="Arial Narrow" w:hAnsi="Arial Narrow" w:cs="Arial Narrow"/>
          <w:sz w:val="16"/>
          <w:szCs w:val="16"/>
          <w:lang w:val="lv-LV"/>
        </w:rPr>
      </w:pPr>
    </w:p>
    <w:p w:rsidR="00997916" w:rsidRPr="00D1358A" w:rsidP="00997916" w14:paraId="30598C3B" w14:textId="77777777">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2. Nozīmīgu grāmatvedības uzskaites principu kopsavilkums (turpinājums)</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997916" w:rsidP="00997916" w14:paraId="66A07FE5" w14:textId="76658D92">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d) Svarīgākās grāmatvedības uzskaites politikas (turpinājums)</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997916" w:rsidP="008E47ED" w14:paraId="53CE6730" w14:textId="77777777">
      <w:pPr>
        <w:keepLines/>
        <w:spacing w:after="0"/>
        <w:jc w:val="both"/>
        <w:rPr>
          <w:rFonts w:ascii="Arial Narrow" w:eastAsia="Arial Narrow" w:hAnsi="Arial Narrow" w:cs="Arial Narrow"/>
          <w:sz w:val="16"/>
          <w:szCs w:val="16"/>
          <w:lang w:val="lv-LV"/>
        </w:rPr>
      </w:pPr>
    </w:p>
    <w:p w:rsidR="00A5438E" w:rsidRPr="00D1358A" w:rsidP="008E47ED" w14:paraId="5552B777" w14:textId="36577273">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 </w:t>
      </w:r>
      <w:r w:rsidRPr="00D1358A">
        <w:rPr>
          <w:rFonts w:ascii="Arial Narrow" w:eastAsia="Arial Narrow" w:hAnsi="Arial Narrow" w:cs="Arial Narrow"/>
          <w:sz w:val="16"/>
          <w:szCs w:val="16"/>
          <w:lang w:val="lv-LV"/>
        </w:rPr>
        <w:t>Koncernam radušās sākotnējās tiešās izmaksas; un</w:t>
      </w:r>
      <w:r w:rsidRPr="00D1358A" w:rsidR="005207B5">
        <w:rPr>
          <w:rFonts w:ascii="Arial Narrow" w:eastAsia="Arial Narrow" w:hAnsi="Arial Narrow" w:cs="Arial Narrow"/>
          <w:sz w:val="16"/>
          <w:szCs w:val="16"/>
          <w:lang w:val="lv-LV"/>
        </w:rPr>
        <w:t xml:space="preserve"> </w:t>
      </w:r>
      <w:r w:rsidRPr="00D1358A">
        <w:rPr>
          <w:rFonts w:ascii="Arial Narrow" w:eastAsia="Arial Narrow" w:hAnsi="Arial Narrow" w:cs="Arial Narrow"/>
          <w:sz w:val="16"/>
          <w:szCs w:val="16"/>
          <w:lang w:val="lv-LV"/>
        </w:rPr>
        <w:t xml:space="preserve">aplēstās izmaksas, kas Koncernam radīsies, lai nojauktu un pārvestu nomas aktīvu, atjaunotu vietu, kurā tas ir atradies, vai atjaunotu nomas aktīvu tādā stāvoklī, kādu pieprasa nomas nosacījumi, izņemot, ja </w:t>
      </w:r>
      <w:r w:rsidRPr="00D1358A">
        <w:rPr>
          <w:rFonts w:ascii="Arial Narrow" w:eastAsia="Arial Narrow" w:hAnsi="Arial Narrow" w:cs="Arial Narrow"/>
          <w:sz w:val="16"/>
          <w:szCs w:val="16"/>
          <w:lang w:val="lv-LV"/>
        </w:rPr>
        <w:t>šādas izmaksas rodas, lai izveidotu krājumus.</w:t>
      </w:r>
      <w:r w:rsidRPr="00D1358A">
        <w:rPr>
          <w:rFonts w:ascii="Arial Narrow" w:eastAsia="Arial Narrow" w:hAnsi="Arial Narrow" w:cs="Arial Narrow"/>
          <w:sz w:val="16"/>
          <w:szCs w:val="16"/>
          <w:lang w:val="lv-LV"/>
        </w:rPr>
        <w:tab/>
      </w:r>
    </w:p>
    <w:p w:rsidR="00A5438E" w:rsidRPr="00D1358A" w:rsidP="008E47ED" w14:paraId="7F7FADC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03A8608"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Turpmāka novērtēšana</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4034B98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Lietošanas tiesību aktīvu Koncerns novērtē iegādes izmaksās, atskaitot uzkrāto nolietojumu un zaudējumus no vērtības samazināšanās, koriģējot to par nomas saistību pārvē</w:t>
      </w:r>
      <w:r w:rsidRPr="00D1358A">
        <w:rPr>
          <w:rFonts w:ascii="Arial Narrow" w:eastAsia="Arial Narrow" w:hAnsi="Arial Narrow" w:cs="Arial Narrow"/>
          <w:sz w:val="16"/>
          <w:szCs w:val="16"/>
          <w:lang w:val="lv-LV"/>
        </w:rPr>
        <w:t>rtēto vērtību. Lietošanas tiesību aktīva nolietojums tiek atzīts peļņas vai zaudējumu aprēķinā saskaņā ar lineāro metodi. Ja līdz nomas termiņa beigām īpašumtiesības uz nomas aktīvu tiek nodotas Koncernam vai ja lietošanas tiesību aktīva iegādes izmaksas a</w:t>
      </w:r>
      <w:r w:rsidRPr="00D1358A">
        <w:rPr>
          <w:rFonts w:ascii="Arial Narrow" w:eastAsia="Arial Narrow" w:hAnsi="Arial Narrow" w:cs="Arial Narrow"/>
          <w:sz w:val="16"/>
          <w:szCs w:val="16"/>
          <w:lang w:val="lv-LV"/>
        </w:rPr>
        <w:t>tspoguļo faktu, ka Koncerns izmantos aktīva iegādes opciju, lietošanas tiesību aktīva nolietojumu Koncerns aprēķina no nomas sākuma datuma līdz nomas aktīva lietderīgās lietošanas beigām saskaņā ar Koncerna politiku attiecībā uz līdzīgiem pašu aktīviem. Ci</w:t>
      </w:r>
      <w:r w:rsidRPr="00D1358A">
        <w:rPr>
          <w:rFonts w:ascii="Arial Narrow" w:eastAsia="Arial Narrow" w:hAnsi="Arial Narrow" w:cs="Arial Narrow"/>
          <w:sz w:val="16"/>
          <w:szCs w:val="16"/>
          <w:lang w:val="lv-LV"/>
        </w:rPr>
        <w:t xml:space="preserve">tos gadījumos lietošanas tiesību aktīva nolietojumu aprēķina no nomas sākuma datuma līdz lietošanas tiesību aktīva lietderīgās lietošanas beigām vai nomas termiņa beigām atkarībā, kurš no šiem datumiem pienāk agrāk.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1BF052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0A6525F"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 xml:space="preserve">Koncerna līdzdalība </w:t>
      </w:r>
      <w:r w:rsidRPr="00D1358A">
        <w:rPr>
          <w:rFonts w:ascii="Arial Narrow" w:eastAsia="Arial Narrow" w:hAnsi="Arial Narrow" w:cs="Arial Narrow"/>
          <w:b/>
          <w:bCs/>
          <w:i/>
          <w:iCs/>
          <w:sz w:val="16"/>
          <w:szCs w:val="16"/>
          <w:lang w:val="lv-LV"/>
        </w:rPr>
        <w:t>nomas aktīvā pirms nomas sākuma datuma</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17B2EB25" w14:textId="7571998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Ja Koncernam ir radušās izmaksas, kas saistītas ar nomas aktīva būvniecību vai projektēšanu, šādas izmaksas nomnieks uzskaita, piemērojot citus SFPS, piemēram, SGS Nr.16. Izmaksas, kas saistītas ar nomas aktī</w:t>
      </w:r>
      <w:r w:rsidRPr="00D1358A">
        <w:rPr>
          <w:rFonts w:ascii="Arial Narrow" w:eastAsia="Arial Narrow" w:hAnsi="Arial Narrow" w:cs="Arial Narrow"/>
          <w:sz w:val="16"/>
          <w:szCs w:val="16"/>
          <w:lang w:val="lv-LV"/>
        </w:rPr>
        <w:t>va būvniecību vai projektēšanu, neietver maksājumus, kurus nomnieks ir veicis par tiesībām izmantot nomas aktīvu.</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5F39BB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P="006470DB" w14:paraId="15C68D2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Lai noteiktu, vai lietošanas tiesību aktīva vērtība ir samazinājusies, un uzskaitītu zaudējumu no vērtības </w:t>
      </w:r>
      <w:r w:rsidRPr="00D1358A">
        <w:rPr>
          <w:rFonts w:ascii="Arial Narrow" w:eastAsia="Arial Narrow" w:hAnsi="Arial Narrow" w:cs="Arial Narrow"/>
          <w:sz w:val="16"/>
          <w:szCs w:val="16"/>
          <w:lang w:val="lv-LV"/>
        </w:rPr>
        <w:t>samazināšanās, Koncerns pielieto SGS Nr.36 prasības.</w:t>
      </w:r>
    </w:p>
    <w:p w:rsidR="00721F39" w:rsidRPr="00D1358A" w:rsidP="00721F39" w14:paraId="1EE1733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RPr="00D1358A" w:rsidP="00721F39" w14:paraId="4A0DC75E"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Izņēmumi sākotnējās atzīšanas brīdī</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721F39" w:rsidRPr="00D1358A" w:rsidP="00721F39" w14:paraId="0DA6387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Koncerns ir pieņēmis lēmumu nepiemērot lietošanas tiesību aktīva un nomas saistību atzīšanas prasības šādām nomām:</w:t>
      </w:r>
    </w:p>
    <w:p w:rsidR="00721F39" w:rsidRPr="00D1358A" w:rsidP="00721F39" w14:paraId="3CD011F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 Īstermiņa nomas – visām nomas</w:t>
      </w:r>
      <w:r w:rsidRPr="00D1358A">
        <w:rPr>
          <w:rFonts w:ascii="Arial Narrow" w:eastAsia="Arial Narrow" w:hAnsi="Arial Narrow" w:cs="Arial Narrow"/>
          <w:sz w:val="16"/>
          <w:szCs w:val="16"/>
          <w:lang w:val="lv-LV"/>
        </w:rPr>
        <w:t xml:space="preserve"> aktīvu klasēm; un</w:t>
      </w:r>
    </w:p>
    <w:p w:rsidR="00721F39" w:rsidRPr="00D1358A" w:rsidP="00721F39" w14:paraId="154E963D"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(b) Mazvērtīgu aktīvu nomas – izvērtējot katru gadījumu atsevišķi.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RPr="00D1358A" w:rsidP="00721F39" w14:paraId="02E663A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RPr="00D1358A" w:rsidP="00721F39" w14:paraId="5B89A7B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Nomām, kuras atbilst īstermiņa nomas un/vai mazvērtīgu aktīvu nomas kritērijiem, Koncerns neatzīst nomas saistības vai lietošanas tiesību aktīvu. Nomas m</w:t>
      </w:r>
      <w:r w:rsidRPr="00D1358A">
        <w:rPr>
          <w:rFonts w:ascii="Arial Narrow" w:eastAsia="Arial Narrow" w:hAnsi="Arial Narrow" w:cs="Arial Narrow"/>
          <w:sz w:val="16"/>
          <w:szCs w:val="16"/>
          <w:lang w:val="lv-LV"/>
        </w:rPr>
        <w:t xml:space="preserve">aksājumus par šādām nomām Koncerns atzīst kā izdevumus saskaņā ar lineāro metodi nomas termiņa laikā. </w:t>
      </w:r>
    </w:p>
    <w:p w:rsidR="00721F39" w:rsidRPr="00D1358A" w:rsidP="00721F39" w14:paraId="4AF37A6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 Īstermiņa nomas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RPr="00D1358A" w:rsidP="00721F39" w14:paraId="79ABECB3"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Īstermiņa noma ir noma, kuras termiņš sākuma datumā nepārsniedz 3 mēnešus. Noma, kas ietver aktīva iegādes opciju, nav īster</w:t>
      </w:r>
      <w:r w:rsidRPr="00D1358A">
        <w:rPr>
          <w:rFonts w:ascii="Arial Narrow" w:eastAsia="Arial Narrow" w:hAnsi="Arial Narrow" w:cs="Arial Narrow"/>
          <w:sz w:val="16"/>
          <w:szCs w:val="16"/>
          <w:lang w:val="lv-LV"/>
        </w:rPr>
        <w:t xml:space="preserve">miņa noma. Nomas izņēmums tiek piemērots visām nomas aktīvu klasēm. </w:t>
      </w:r>
    </w:p>
    <w:p w:rsidR="00721F39" w:rsidRPr="00D1358A" w:rsidP="00721F39" w14:paraId="53A49812"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(b) Mazvērtīgu aktīvu nomas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RPr="00D1358A" w:rsidP="00721F39" w14:paraId="6C6ACCE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RPr="00D1358A" w:rsidP="00721F39" w14:paraId="5844402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Par mazvērtīgiem aktīviem Koncerns uzskata aktīvus:</w:t>
      </w:r>
    </w:p>
    <w:p w:rsidR="00721F39" w:rsidRPr="00D1358A" w:rsidP="00721F39" w14:paraId="4D5E8192"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1) kuru jaunvērtība nepārsniedz 5 000 EUR. Nomas aktīva vērtību Koncerns novērtē, balsto</w:t>
      </w:r>
      <w:r w:rsidRPr="00D1358A">
        <w:rPr>
          <w:rFonts w:ascii="Arial Narrow" w:eastAsia="Arial Narrow" w:hAnsi="Arial Narrow" w:cs="Arial Narrow"/>
          <w:sz w:val="16"/>
          <w:szCs w:val="16"/>
          <w:lang w:val="lv-LV"/>
        </w:rPr>
        <w:t>ties uz jauna aktīva vērtību, neatkarīgi no tā, cik vecs ir konkrētais nomas aktīvs.</w:t>
      </w:r>
    </w:p>
    <w:p w:rsidR="00721F39" w:rsidRPr="00D1358A" w:rsidP="00721F39" w14:paraId="3D9D909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2) Koncerns var gūt labumu no aktīva izmantošanas atsevišķi vai kopā ar citiem resursiem, kas Koncernam ir jau pieejami; un</w:t>
      </w:r>
    </w:p>
    <w:p w:rsidR="00721F39" w:rsidRPr="00D1358A" w:rsidP="00721F39" w14:paraId="60C190F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3) nomas aktīvs nav atkarīgs no citiem aktīviem</w:t>
      </w:r>
      <w:r w:rsidRPr="00D1358A">
        <w:rPr>
          <w:rFonts w:ascii="Arial Narrow" w:eastAsia="Arial Narrow" w:hAnsi="Arial Narrow" w:cs="Arial Narrow"/>
          <w:sz w:val="16"/>
          <w:szCs w:val="16"/>
          <w:lang w:val="lv-LV"/>
        </w:rPr>
        <w:t xml:space="preserve"> vai izteikti savstarpēji saistīts ar tiem.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6470DB" w14:paraId="090D0A8F" w14:textId="7CE2CA23">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6470DB" w:rsidP="008E47ED" w14:paraId="6FB2FC08" w14:textId="77777777">
      <w:pPr>
        <w:keepLines/>
        <w:spacing w:after="0"/>
        <w:jc w:val="both"/>
        <w:rPr>
          <w:rFonts w:ascii="Arial Narrow" w:eastAsia="Arial Narrow" w:hAnsi="Arial Narrow" w:cs="Arial Narrow"/>
          <w:sz w:val="16"/>
          <w:szCs w:val="16"/>
          <w:lang w:val="lv-LV"/>
        </w:rPr>
      </w:pPr>
    </w:p>
    <w:p w:rsidR="00721F39" w:rsidP="008E47ED" w14:paraId="63D5C425" w14:textId="77777777">
      <w:pPr>
        <w:keepLines/>
        <w:spacing w:after="0"/>
        <w:jc w:val="both"/>
        <w:rPr>
          <w:rFonts w:ascii="Arial Narrow" w:eastAsia="Arial Narrow" w:hAnsi="Arial Narrow" w:cs="Arial Narrow"/>
          <w:sz w:val="16"/>
          <w:szCs w:val="16"/>
          <w:lang w:val="lv-LV"/>
        </w:rPr>
      </w:pPr>
    </w:p>
    <w:p w:rsidR="00721F39" w:rsidRPr="00D1358A" w:rsidP="008E47ED" w14:paraId="7A2F256D" w14:textId="407BAE2D">
      <w:pPr>
        <w:keepLines/>
        <w:spacing w:after="0"/>
        <w:jc w:val="both"/>
        <w:rPr>
          <w:rFonts w:ascii="Arial Narrow" w:eastAsia="Arial Narrow" w:hAnsi="Arial Narrow" w:cs="Arial Narrow"/>
          <w:sz w:val="16"/>
          <w:szCs w:val="16"/>
          <w:lang w:val="lv-LV"/>
        </w:rPr>
        <w:sectPr w:rsidSect="00B05740">
          <w:headerReference w:type="even" r:id="rId102"/>
          <w:headerReference w:type="default" r:id="rId103"/>
          <w:footerReference w:type="even" r:id="rId104"/>
          <w:footerReference w:type="default" r:id="rId105"/>
          <w:headerReference w:type="first" r:id="rId106"/>
          <w:footerReference w:type="first" r:id="rId107"/>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p>
    <w:p w:rsidR="00A5438E" w:rsidRPr="00D1358A" w:rsidP="008E47ED" w14:paraId="545AD34F" w14:textId="69E46622">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2. Nozīmīgu grāmatvedības uzskaites principu kopsavilkums (turpinājums)</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A5438E" w:rsidRPr="00D1358A" w:rsidP="008E47ED" w14:paraId="3B6962DA" w14:textId="361C6DCB">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d</w:t>
      </w:r>
      <w:r w:rsidRPr="00D1358A" w:rsidR="006E614D">
        <w:rPr>
          <w:rFonts w:ascii="Arial Narrow" w:eastAsia="Arial Narrow" w:hAnsi="Arial Narrow" w:cs="Arial Narrow"/>
          <w:b/>
          <w:bCs/>
          <w:i/>
          <w:iCs/>
          <w:sz w:val="16"/>
          <w:szCs w:val="16"/>
          <w:lang w:val="lv-LV"/>
        </w:rPr>
        <w:t>) Svarīgākās grāmatvedības uzskaites politikas (turpinājums)</w:t>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p>
    <w:p w:rsidR="00A5438E" w:rsidRPr="00D1358A" w:rsidP="008E47ED" w14:paraId="55022747"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3621D52A"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Pārdošanas darījumi ar saņemšanu atpakaļ nomā</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6D3EF712" w14:textId="555BED31">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Koncerns finansē arī automašīnas, kuras klientiem jau pieder. Pārdošanas darījums ar saņemšanu atpakaļ nomā ir darījums, kura ietvaros Koncerns iegādājas aktīvu un tad šo pašu aktīvu iznomā tam pašam k</w:t>
      </w:r>
      <w:r w:rsidRPr="00D1358A">
        <w:rPr>
          <w:rFonts w:ascii="Arial Narrow" w:eastAsia="Arial Narrow" w:hAnsi="Arial Narrow" w:cs="Arial Narrow"/>
          <w:sz w:val="16"/>
          <w:szCs w:val="16"/>
          <w:lang w:val="lv-LV"/>
        </w:rPr>
        <w:t xml:space="preserve">lientam. Automašīna kalpo par nodrošinājumu visām nomas saistībām. Lai noteiktu, vai aktīva nodošana ir uzskatāma par šā aktīva pārdošanu, Koncerns piemēro SFPS Nr. 15 prasības, kuras nosaka, kad izpildes pienākums ir īstenots. Ja aktīva nodošana, ko veic </w:t>
      </w:r>
      <w:r w:rsidRPr="00D1358A">
        <w:rPr>
          <w:rFonts w:ascii="Arial Narrow" w:eastAsia="Arial Narrow" w:hAnsi="Arial Narrow" w:cs="Arial Narrow"/>
          <w:sz w:val="16"/>
          <w:szCs w:val="16"/>
          <w:lang w:val="lv-LV"/>
        </w:rPr>
        <w:t>pārdevējs–nomnieks, neatbilst SFPS Nr. 15 prasībām, lai to uzskaitītu kā aktīva pārdošanu, pārdevējs–nomnieks neatzīst nodoto aktīvu un atzīst finanšu aktīvu darījuma summas apmērā. Finanšu aktīvi tiek uzskaitīti kā kredīti un izsniegtie avansi, piemērojot</w:t>
      </w:r>
      <w:r w:rsidRPr="00D1358A">
        <w:rPr>
          <w:rFonts w:ascii="Arial Narrow" w:eastAsia="Arial Narrow" w:hAnsi="Arial Narrow" w:cs="Arial Narrow"/>
          <w:sz w:val="16"/>
          <w:szCs w:val="16"/>
          <w:lang w:val="lv-LV"/>
        </w:rPr>
        <w:t xml:space="preserve"> SFPS Nr. 9 prasības. 2020. gada 31. decembrī Koncerns secināja, ka pārdošanas darījumu ar saņemšanu atpakaļ nomā nosacījumi (ieskaitot tajos ietvertās izpirkšanas iespējas) ir tādi, ka aktīva nodošana no pārdevēja-nomnieka Koncernam neatbilst un nekad nav</w:t>
      </w:r>
      <w:r w:rsidRPr="00D1358A">
        <w:rPr>
          <w:rFonts w:ascii="Arial Narrow" w:eastAsia="Arial Narrow" w:hAnsi="Arial Narrow" w:cs="Arial Narrow"/>
          <w:sz w:val="16"/>
          <w:szCs w:val="16"/>
          <w:lang w:val="lv-LV"/>
        </w:rPr>
        <w:t xml:space="preserve"> atbildusi SFPS Nr. 15 prasībām. Tādējādi prasības, kas izriet no pārdošanas darījumiem ar saņemšanu atpakaļ nomā, tika pārklasificētas uz kredītiem un izsniegtiem avansiem 2020. gada 31. decembrī.</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6470DB" w14:paraId="225547A1" w14:textId="32E8C9D4">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Pārdošanas darījumiem ar saņemšanu atpakaļ </w:t>
      </w:r>
      <w:r w:rsidRPr="00D1358A">
        <w:rPr>
          <w:rFonts w:ascii="Arial Narrow" w:eastAsia="Arial Narrow" w:hAnsi="Arial Narrow" w:cs="Arial Narrow"/>
          <w:sz w:val="16"/>
          <w:szCs w:val="16"/>
          <w:lang w:val="lv-LV"/>
        </w:rPr>
        <w:t>nomā Koncerns ir veicis SPPI testu. Automašīna kalpo par nodrošinājumu visiem šādiem kredītiem. Pārdošanas darījumi ar saņemšanu atpakaļ nomā ietver līgumu nosacījumus, kas var mainīt līgumā noteiktās naudas plūsmas veidā, kas nav saistīts ar parastiem aiz</w:t>
      </w:r>
      <w:r w:rsidRPr="00D1358A">
        <w:rPr>
          <w:rFonts w:ascii="Arial Narrow" w:eastAsia="Arial Narrow" w:hAnsi="Arial Narrow" w:cs="Arial Narrow"/>
          <w:sz w:val="16"/>
          <w:szCs w:val="16"/>
          <w:lang w:val="lv-LV"/>
        </w:rPr>
        <w:t>devumu nosacījumiem. Šādas naudas plūsmas rodas aizņēmēja saistību neizpildes gadījumā, pārdodot pārņemtās automašīnas, kad pārdošanas rezultātā Koncernam rodas papildu ieņēmumi, un no klienta saņemot komisijas naudu un citus maksājumus, kas nav tieši sais</w:t>
      </w:r>
      <w:r w:rsidRPr="00D1358A">
        <w:rPr>
          <w:rFonts w:ascii="Arial Narrow" w:eastAsia="Arial Narrow" w:hAnsi="Arial Narrow" w:cs="Arial Narrow"/>
          <w:sz w:val="16"/>
          <w:szCs w:val="16"/>
          <w:lang w:val="lv-LV"/>
        </w:rPr>
        <w:t>tīti ar maksājamo pamatsummu/procentiem (piem., klienta apmaksātas ārējas parādu piedziņas izmaksas ar uzcenojumu). Citi līgumu elementi, kas ir svarīgi komponentu SPPI novērtējumam, ietver nomātā aktīva izpirkšanas opcijas, kuru vērtība opcijas izmantošan</w:t>
      </w:r>
      <w:r w:rsidRPr="00D1358A">
        <w:rPr>
          <w:rFonts w:ascii="Arial Narrow" w:eastAsia="Arial Narrow" w:hAnsi="Arial Narrow" w:cs="Arial Narrow"/>
          <w:sz w:val="16"/>
          <w:szCs w:val="16"/>
          <w:lang w:val="lv-LV"/>
        </w:rPr>
        <w:t>as datumā ir zemāka par automašīnas tirgus vērtību, un būtiskas soda naudas par līgumu laušanu, kas paredzētas atsevišķiem līgumiem bez prasījuma tiesībām papildus nodrošinājumam.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CA99F4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24FBAE2" w14:textId="2CE3E4FA">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Koncerns ir izdarījis nepieciešamos spriedumus un secinājis, ka</w:t>
      </w:r>
      <w:r w:rsidRPr="00D1358A">
        <w:rPr>
          <w:rFonts w:ascii="Arial Narrow" w:eastAsia="Arial Narrow" w:hAnsi="Arial Narrow" w:cs="Arial Narrow"/>
          <w:sz w:val="16"/>
          <w:szCs w:val="16"/>
          <w:lang w:val="lv-LV"/>
        </w:rPr>
        <w:t xml:space="preserve"> SPPI kritērijs ir izpildīts visos iepriekš aprakstītajos apstākļos, jo 1) Koncerna iekasētā komisijas nauda par ķīlu pārņemšanu un citas maksas ir paredzētas, lai segtu izmaksas, kas Koncernam radušās parādu apkalpošanas laikā, izmantojot parasto kreditēš</w:t>
      </w:r>
      <w:r w:rsidRPr="00D1358A">
        <w:rPr>
          <w:rFonts w:ascii="Arial Narrow" w:eastAsia="Arial Narrow" w:hAnsi="Arial Narrow" w:cs="Arial Narrow"/>
          <w:sz w:val="16"/>
          <w:szCs w:val="16"/>
          <w:lang w:val="lv-LV"/>
        </w:rPr>
        <w:t>anas modeli, 2) fakts, ka Koncerns gūst peļņu no pārņemto automašīnu pārdošanas, kas pārsniedz atgūtā riska darījuma vērtību (ja piemērojams), nav pierādījums tam, ka Koncerna uzņemtais risks faktiski ir automašīnas cenas risks, nevis kredītrisks. Koncerns</w:t>
      </w:r>
      <w:r w:rsidRPr="00D1358A">
        <w:rPr>
          <w:rFonts w:ascii="Arial Narrow" w:eastAsia="Arial Narrow" w:hAnsi="Arial Narrow" w:cs="Arial Narrow"/>
          <w:sz w:val="16"/>
          <w:szCs w:val="16"/>
          <w:lang w:val="lv-LV"/>
        </w:rPr>
        <w:t xml:space="preserve"> var pārdot ķīlu un gūt peļņu tikai tad, kad iestājusies klienta saistību neizpilde, un dažkārt gūtie nebūtiskie ienākumi no pārdošanas darījumiem nav pamata biznesa modeļa mērķis (kas ir gūt procentu ieņēmumus no aizdevuma) un nav uzskatāmi par svarīgu ko</w:t>
      </w:r>
      <w:r w:rsidRPr="00D1358A">
        <w:rPr>
          <w:rFonts w:ascii="Arial Narrow" w:eastAsia="Arial Narrow" w:hAnsi="Arial Narrow" w:cs="Arial Narrow"/>
          <w:sz w:val="16"/>
          <w:szCs w:val="16"/>
          <w:lang w:val="lv-LV"/>
        </w:rPr>
        <w:t>mercdarbības jomu, bet ir veids, kādā samazināt kredītzaudējumus, 3) soda naudas par līgumu laušanu pārdošanas darījumos ar saņemšanu atpakaļ nomā bez prasījuma tiesībām papildus nodrošinājumam ir uzskatāmi par līgumu sastāvdaļām, kas paredzētas kredītrisk</w:t>
      </w:r>
      <w:r w:rsidRPr="00D1358A">
        <w:rPr>
          <w:rFonts w:ascii="Arial Narrow" w:eastAsia="Arial Narrow" w:hAnsi="Arial Narrow" w:cs="Arial Narrow"/>
          <w:sz w:val="16"/>
          <w:szCs w:val="16"/>
          <w:lang w:val="lv-LV"/>
        </w:rPr>
        <w:t>a kompensēšanai un nerada Koncernam ievērojamu neto peļņu.</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2A73B5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49D3541"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Nauda un naudas ekvivalenti</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5E10C99D"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Naudas un naudas ekvivalentu atlikumus veido nauda bankā un kasē.</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513856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8F23D9A"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Pārdošanai turēti aktīvi</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20320DB8" w14:textId="29779771">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Ilgtermiņa ieguldījumus </w:t>
      </w:r>
      <w:r w:rsidRPr="00D1358A">
        <w:rPr>
          <w:rFonts w:ascii="Arial Narrow" w:eastAsia="Arial Narrow" w:hAnsi="Arial Narrow" w:cs="Arial Narrow"/>
          <w:sz w:val="16"/>
          <w:szCs w:val="16"/>
          <w:lang w:val="lv-LV"/>
        </w:rPr>
        <w:t xml:space="preserve">un atsavināšanas grupas Koncerns klasificē kā pārdošanai turētas, ja to uzskaites vērtības tiks atgūtas galvenokārt pārdodot aktīvus, nevis turpinot tos lietot.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B451E5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5A9C8E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Pārdošanai turēti aktīvi ietver automašīnas, kas iegūtas, pārņemot ķīlas, kas nod</w:t>
      </w:r>
      <w:r w:rsidRPr="00D1358A">
        <w:rPr>
          <w:rFonts w:ascii="Arial Narrow" w:eastAsia="Arial Narrow" w:hAnsi="Arial Narrow" w:cs="Arial Narrow"/>
          <w:sz w:val="16"/>
          <w:szCs w:val="16"/>
          <w:lang w:val="lv-LV"/>
        </w:rPr>
        <w:t>rošinājušas spēkā esošu nomas līgumu saistības, kurām iestājusies saistību neizpilde. Pārņemtie ķīlu nodrošinājumi ir klasificēti kā turēti pārdošanai un novērtēti zemākajā no uzskaites vērtības un patiesās vērtības, atskaitot pārdošanas izmaksas (FVLCTS).</w:t>
      </w:r>
      <w:r w:rsidRPr="00D1358A">
        <w:rPr>
          <w:rFonts w:ascii="Arial Narrow" w:eastAsia="Arial Narrow" w:hAnsi="Arial Narrow" w:cs="Arial Narrow"/>
          <w:sz w:val="16"/>
          <w:szCs w:val="16"/>
          <w:lang w:val="lv-LV"/>
        </w:rPr>
        <w:t xml:space="preserve"> Pārdošanas izmaksas ir papildu izmaksas, kas ir tieši attiecināmas uz aktīva pārdošanu, un neietver finanšu izmaksas un ienākuma nodokli.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3FDFC2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1BF096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Tiek uzskatīts, ka kritēriji klasificēšanai pārdošanai turēto aktīvu kategorijā ir </w:t>
      </w:r>
      <w:r w:rsidRPr="00D1358A">
        <w:rPr>
          <w:rFonts w:ascii="Arial Narrow" w:eastAsia="Arial Narrow" w:hAnsi="Arial Narrow" w:cs="Arial Narrow"/>
          <w:sz w:val="16"/>
          <w:szCs w:val="16"/>
          <w:lang w:val="lv-LV"/>
        </w:rPr>
        <w:t>izpildīti tikai tad, kad pārdošana ir ļoti iespējama un aktīvu ir iespējams nekavējoties pārdot tā esošajā stāvoklī. Darbībām, kas nepieciešamas aktīva pārdošanai, ir jānorāda, ka ir mazticams, ka pārdošanas nosacījumi tiks būtiski mainīti vai lēmums pārdo</w:t>
      </w:r>
      <w:r w:rsidRPr="00D1358A">
        <w:rPr>
          <w:rFonts w:ascii="Arial Narrow" w:eastAsia="Arial Narrow" w:hAnsi="Arial Narrow" w:cs="Arial Narrow"/>
          <w:sz w:val="16"/>
          <w:szCs w:val="16"/>
          <w:lang w:val="lv-LV"/>
        </w:rPr>
        <w:t>t tiks atcelts. Vadībai ir jāizrāda apņemšanās pārdot aktīvu, un pārdošanas darījumam ir jānotiek viena gada laikā pēc klasifikācijas datuma.</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FBD134C" w14:textId="4FB910DE">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Pārdošanai turēti aktīvi finanšu stāvokļa pārskatā ir uzrādīti atsevišķi kā īstermiņa posteņi.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BE25C89"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U</w:t>
      </w:r>
      <w:r w:rsidRPr="00D1358A">
        <w:rPr>
          <w:rFonts w:ascii="Arial Narrow" w:eastAsia="Arial Narrow" w:hAnsi="Arial Narrow" w:cs="Arial Narrow"/>
          <w:b/>
          <w:bCs/>
          <w:i/>
          <w:iCs/>
          <w:sz w:val="16"/>
          <w:szCs w:val="16"/>
          <w:lang w:val="lv-LV"/>
        </w:rPr>
        <w:t>zkrājumi atvaļinājumiem</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997916" w14:paraId="40C6B18D" w14:textId="3DD40C4F">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Uzkrājumi atvaļinājumiem tiek aprēķināti saskaņā ar LR normatīvo aktu prasībām.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1423F" w:rsidRPr="00D1358A" w:rsidP="008E47ED" w14:paraId="4D37842F" w14:textId="77777777">
      <w:pPr>
        <w:keepLines/>
        <w:spacing w:after="0"/>
        <w:jc w:val="both"/>
        <w:rPr>
          <w:rFonts w:ascii="Arial Narrow" w:eastAsia="Arial Narrow" w:hAnsi="Arial Narrow" w:cs="Arial Narrow"/>
          <w:b/>
          <w:bCs/>
          <w:i/>
          <w:iCs/>
          <w:sz w:val="16"/>
          <w:szCs w:val="16"/>
          <w:lang w:val="lv-LV"/>
        </w:rPr>
      </w:pPr>
    </w:p>
    <w:p w:rsidR="0071423F" w:rsidRPr="00D1358A" w:rsidP="008E47ED" w14:paraId="7C2193A3" w14:textId="77777777">
      <w:pPr>
        <w:keepLines/>
        <w:spacing w:after="0"/>
        <w:jc w:val="both"/>
        <w:rPr>
          <w:rFonts w:ascii="Arial Narrow" w:eastAsia="Arial Narrow" w:hAnsi="Arial Narrow" w:cs="Arial Narrow"/>
          <w:b/>
          <w:bCs/>
          <w:i/>
          <w:iCs/>
          <w:sz w:val="16"/>
          <w:szCs w:val="16"/>
          <w:lang w:val="lv-LV"/>
        </w:rPr>
      </w:pPr>
    </w:p>
    <w:p w:rsidR="00A5438E" w:rsidRPr="00D1358A" w:rsidP="008E47ED" w14:paraId="21964D9C" w14:textId="65D6CA73">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Pārējie ieguldījumi</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1E2C15EB" w14:textId="22538580">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Ieguldījumi sabiedrību kapitālos, kas uzrādīti patiesajā vērtībā ar pārvērtēšanas atzīšanu pārējos apvieno</w:t>
      </w:r>
      <w:r w:rsidRPr="00D1358A">
        <w:rPr>
          <w:rFonts w:ascii="Arial Narrow" w:eastAsia="Arial Narrow" w:hAnsi="Arial Narrow" w:cs="Arial Narrow"/>
          <w:b/>
          <w:bCs/>
          <w:i/>
          <w:iCs/>
          <w:sz w:val="16"/>
          <w:szCs w:val="16"/>
          <w:lang w:val="lv-LV"/>
        </w:rPr>
        <w:t>tajos ienākumos (FVTOCI)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C518D59" w14:textId="79354089">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Sākotnējās atzīšanas brīdī Koncerns var neatgriezeniski izvēlēties klasificēt savus ieguldījumus kā uzrādītus patiesajā vērtībā ar pārvērtēšanas atzīšanu pārējos apvienotajos ienākumos (FVTOCI). Šo klasifikāciju Koncerns novē</w:t>
      </w:r>
      <w:r w:rsidRPr="00D1358A">
        <w:rPr>
          <w:rFonts w:ascii="Arial Narrow" w:eastAsia="Arial Narrow" w:hAnsi="Arial Narrow" w:cs="Arial Narrow"/>
          <w:sz w:val="16"/>
          <w:szCs w:val="16"/>
          <w:lang w:val="lv-LV"/>
        </w:rPr>
        <w:t>rtē un piemēro katram instrumentam atsevišķi. Šie instrumenti sākotnēji tiek novērtēti patiesajā vērtībā, pieskaitot darījuma izmaksas, kas tieši attiecināmas uz to iegādi. Pēc sākotnējās atzīšanas šos instrumentus novērtē patiesajā vērtībā. Dividendes tie</w:t>
      </w:r>
      <w:r w:rsidRPr="00D1358A">
        <w:rPr>
          <w:rFonts w:ascii="Arial Narrow" w:eastAsia="Arial Narrow" w:hAnsi="Arial Narrow" w:cs="Arial Narrow"/>
          <w:sz w:val="16"/>
          <w:szCs w:val="16"/>
          <w:lang w:val="lv-LV"/>
        </w:rPr>
        <w:t xml:space="preserve">k uzrādītas peļņas vai zaudējumu aprēķinā. Pārējā neto peļņa un zaudējumi tiek uzkrāti pārējo apvienoto ienākumu sastāvā un nekad netiek pārcelti uz peļņas vai zaudējumu aprēķinu.                                                                             </w:t>
      </w:r>
      <w:r w:rsidRPr="00D1358A">
        <w:rPr>
          <w:rFonts w:ascii="Arial Narrow" w:eastAsia="Arial Narrow" w:hAnsi="Arial Narrow" w:cs="Arial Narrow"/>
          <w:sz w:val="16"/>
          <w:szCs w:val="16"/>
          <w:lang w:val="lv-LV"/>
        </w:rPr>
        <w:t xml:space="preserve">                                         </w:t>
      </w:r>
    </w:p>
    <w:p w:rsidR="00721F39" w:rsidP="000524FC" w14:paraId="3D06C1BA" w14:textId="77777777">
      <w:pPr>
        <w:keepLines/>
        <w:spacing w:after="0"/>
        <w:jc w:val="both"/>
        <w:rPr>
          <w:rFonts w:ascii="Arial Narrow" w:eastAsia="Arial Narrow" w:hAnsi="Arial Narrow" w:cs="Arial Narrow"/>
          <w:sz w:val="16"/>
          <w:szCs w:val="16"/>
          <w:lang w:val="lv-LV"/>
        </w:rPr>
        <w:sectPr w:rsidSect="00B05740">
          <w:headerReference w:type="even" r:id="rId108"/>
          <w:headerReference w:type="default" r:id="rId109"/>
          <w:footerReference w:type="even" r:id="rId110"/>
          <w:footerReference w:type="default" r:id="rId111"/>
          <w:headerReference w:type="first" r:id="rId112"/>
          <w:footerReference w:type="first" r:id="rId113"/>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r w:rsidRPr="00D1358A">
        <w:rPr>
          <w:rFonts w:ascii="Arial Narrow" w:eastAsia="Arial Narrow" w:hAnsi="Arial Narrow" w:cs="Arial Narrow"/>
          <w:sz w:val="16"/>
          <w:szCs w:val="16"/>
          <w:lang w:val="lv-LV"/>
        </w:rPr>
        <w:t>Ieguldījumi biržā nekotētu sabiedrību kapitālos tiek klasificēti un novērtēti kā ieguldījumi, kas uzrādīti patiesajā vērtībā ar pārvērtēšanas atzīšanu pārējos apvienotajos ienākumos. Koncerns ir i</w:t>
      </w:r>
      <w:r w:rsidRPr="00D1358A">
        <w:rPr>
          <w:rFonts w:ascii="Arial Narrow" w:eastAsia="Arial Narrow" w:hAnsi="Arial Narrow" w:cs="Arial Narrow"/>
          <w:sz w:val="16"/>
          <w:szCs w:val="16"/>
          <w:lang w:val="lv-LV"/>
        </w:rPr>
        <w:t>zvēlējies ieguldījumus biržā nekotētās sabiedrībās neatgriezeniski klasificēt šajā kategorijā, jo tam ir nodoms turēt šos ieguldījumus pārredzamā nākotnē.</w:t>
      </w:r>
    </w:p>
    <w:p w:rsidR="00997916" w:rsidP="000524FC" w14:paraId="53E8CFBC" w14:textId="77777777">
      <w:pPr>
        <w:keepLines/>
        <w:spacing w:after="0"/>
        <w:jc w:val="both"/>
        <w:rPr>
          <w:rFonts w:ascii="Arial Narrow" w:eastAsia="Arial Narrow" w:hAnsi="Arial Narrow" w:cs="Arial Narrow"/>
          <w:sz w:val="16"/>
          <w:szCs w:val="16"/>
          <w:lang w:val="lv-LV"/>
        </w:rPr>
      </w:pPr>
    </w:p>
    <w:p w:rsidR="00721F39" w:rsidRPr="00D1358A" w:rsidP="00721F39" w14:paraId="20FB5771" w14:textId="77777777">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2. Nozīmīgu grāmatvedības uzskaites principu kopsavilkums (turpinājums)</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721F39" w:rsidP="00721F39" w14:paraId="65565BA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 xml:space="preserve">d) </w:t>
      </w:r>
      <w:r w:rsidRPr="00D1358A">
        <w:rPr>
          <w:rFonts w:ascii="Arial Narrow" w:eastAsia="Arial Narrow" w:hAnsi="Arial Narrow" w:cs="Arial Narrow"/>
          <w:b/>
          <w:bCs/>
          <w:i/>
          <w:iCs/>
          <w:sz w:val="16"/>
          <w:szCs w:val="16"/>
          <w:lang w:val="lv-LV"/>
        </w:rPr>
        <w:t>Svarīgākās grāmatvedības uzskaites politikas (turpinājums)</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721F39" w:rsidP="00997916" w14:paraId="3EDC3573" w14:textId="77777777">
      <w:pPr>
        <w:keepLines/>
        <w:spacing w:after="0"/>
        <w:jc w:val="both"/>
        <w:rPr>
          <w:rFonts w:ascii="Arial Narrow" w:eastAsia="Arial Narrow" w:hAnsi="Arial Narrow" w:cs="Arial Narrow"/>
          <w:b/>
          <w:bCs/>
          <w:i/>
          <w:iCs/>
          <w:sz w:val="16"/>
          <w:szCs w:val="16"/>
          <w:lang w:val="lv-LV"/>
        </w:rPr>
      </w:pPr>
    </w:p>
    <w:p w:rsidR="00997916" w:rsidRPr="00D1358A" w:rsidP="00997916" w14:paraId="0F02B91C" w14:textId="5B4D4851">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FVOCI parāda instrumenti</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997916" w:rsidRPr="00D1358A" w:rsidP="00997916" w14:paraId="7684152D"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Parāda instrumentus Koncerns klasificē kā novērtētus patiesajā vērtībā ar atspoguļojumu pārējos apvienotajos ienākumos (FVOCI) tad, kad ir izpildīti šādi n</w:t>
      </w:r>
      <w:r w:rsidRPr="00D1358A">
        <w:rPr>
          <w:rFonts w:ascii="Arial Narrow" w:eastAsia="Arial Narrow" w:hAnsi="Arial Narrow" w:cs="Arial Narrow"/>
          <w:sz w:val="16"/>
          <w:szCs w:val="16"/>
          <w:lang w:val="lv-LV"/>
        </w:rPr>
        <w:t>osacījumi:</w:t>
      </w:r>
    </w:p>
    <w:p w:rsidR="00997916" w:rsidRPr="00D1358A" w:rsidP="00997916" w14:paraId="442D4D6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 instruments tiek turēts tāda komercdarbības modeļa ietvaros, kura mērķi sasniedz, gan iekasējot līgumiskās naudas plūsmas, gan pārdodot finanšu aktīvus; </w:t>
      </w:r>
    </w:p>
    <w:p w:rsidR="00997916" w:rsidP="00721F39" w14:paraId="29A571EA" w14:textId="58F84B84">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finanšu aktīva līguma nosacījumi atbilst SPPI kritērijam.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RPr="00D1358A" w:rsidP="00721F39" w14:paraId="4875DCBF" w14:textId="77777777">
      <w:pPr>
        <w:keepLines/>
        <w:spacing w:after="0"/>
        <w:jc w:val="both"/>
        <w:rPr>
          <w:rFonts w:ascii="Arial Narrow" w:eastAsia="Arial Narrow" w:hAnsi="Arial Narrow" w:cs="Arial Narrow"/>
          <w:sz w:val="16"/>
          <w:szCs w:val="16"/>
          <w:lang w:val="lv-LV"/>
        </w:rPr>
      </w:pPr>
    </w:p>
    <w:p w:rsidR="00997916" w:rsidRPr="00D1358A" w:rsidP="00997916" w14:paraId="4B0FDA2D"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Parāda instrumenti F</w:t>
      </w:r>
      <w:r w:rsidRPr="00D1358A">
        <w:rPr>
          <w:rFonts w:ascii="Arial Narrow" w:eastAsia="Arial Narrow" w:hAnsi="Arial Narrow" w:cs="Arial Narrow"/>
          <w:sz w:val="16"/>
          <w:szCs w:val="16"/>
          <w:lang w:val="lv-LV"/>
        </w:rPr>
        <w:t>VOCI sākotnēji tiek novērtēti patiesajā vērtībā, pieskaitot darījuma izmaksas, kas tieši attiecināmas uz to iegādi. Pēc sākotnējās atzīšanas šos instrumentus novērtē amortizētajā vērtībā. Procentu ieņēmumus un izdevumus atzīst peļņas vai zaudējumu aprēķinā</w:t>
      </w:r>
      <w:r w:rsidRPr="00D1358A">
        <w:rPr>
          <w:rFonts w:ascii="Arial Narrow" w:eastAsia="Arial Narrow" w:hAnsi="Arial Narrow" w:cs="Arial Narrow"/>
          <w:sz w:val="16"/>
          <w:szCs w:val="16"/>
          <w:lang w:val="lv-LV"/>
        </w:rPr>
        <w:t xml:space="preserve"> tādā pašā veidā, kā amortizētajā vērtībā novērtētus finanšu aktīvus.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997916" w:rsidRPr="00D1358A" w:rsidP="00997916" w14:paraId="3A31C4B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P="00997916" w14:paraId="7A05C5D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Gada beigās FVOCI parādu instrumentus novērtē patiesajā vērtībā, bet peļņu vai zaudējumus no izmaiņām patiesajā vērtībā atzīst pārējos apvienotajos ienākumos. Ja Koncerna</w:t>
      </w:r>
      <w:r w:rsidRPr="00D1358A">
        <w:rPr>
          <w:rFonts w:ascii="Arial Narrow" w:eastAsia="Arial Narrow" w:hAnsi="Arial Narrow" w:cs="Arial Narrow"/>
          <w:sz w:val="16"/>
          <w:szCs w:val="16"/>
          <w:lang w:val="lv-LV"/>
        </w:rPr>
        <w:t>m ir vairāk nekā viens ieguldījums tajā pašā vērtspapīrā, tiek uzskatīts, ka tie tiek pārdoti saskaņā ar FIFO principu. Pēc atzīšanas pārtraukšanas kopējo peļņu vai zaudējumus, kas iepriekš atzīti pārējos apvienotajos ienākumos, pārceļ uz peļņas vai zaudēj</w:t>
      </w:r>
      <w:r w:rsidRPr="00D1358A">
        <w:rPr>
          <w:rFonts w:ascii="Arial Narrow" w:eastAsia="Arial Narrow" w:hAnsi="Arial Narrow" w:cs="Arial Narrow"/>
          <w:sz w:val="16"/>
          <w:szCs w:val="16"/>
          <w:lang w:val="lv-LV"/>
        </w:rPr>
        <w:t>umu aprēķinu.</w:t>
      </w:r>
      <w:r w:rsidRPr="00D1358A">
        <w:rPr>
          <w:rFonts w:ascii="Arial Narrow" w:eastAsia="Arial Narrow" w:hAnsi="Arial Narrow" w:cs="Arial Narrow"/>
          <w:sz w:val="16"/>
          <w:szCs w:val="16"/>
          <w:lang w:val="lv-LV"/>
        </w:rPr>
        <w:tab/>
      </w:r>
    </w:p>
    <w:p w:rsidR="00721F39" w:rsidP="00997916" w14:paraId="513E4212" w14:textId="77777777">
      <w:pPr>
        <w:keepLines/>
        <w:spacing w:after="0"/>
        <w:jc w:val="both"/>
        <w:rPr>
          <w:rFonts w:ascii="Arial Narrow" w:eastAsia="Arial Narrow" w:hAnsi="Arial Narrow" w:cs="Arial Narrow"/>
          <w:sz w:val="16"/>
          <w:szCs w:val="16"/>
          <w:lang w:val="lv-LV"/>
        </w:rPr>
      </w:pPr>
    </w:p>
    <w:p w:rsidR="00721F39" w:rsidRPr="00D1358A" w:rsidP="00721F39" w14:paraId="5C799FC7"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 xml:space="preserve">Darījumi ar savstarpējās kreditēšanas platformām </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721F39" w:rsidRPr="00D1358A" w:rsidP="00721F39" w14:paraId="40F37D12"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i/>
          <w:iCs/>
          <w:sz w:val="16"/>
          <w:szCs w:val="16"/>
          <w:lang w:val="lv-LV"/>
        </w:rPr>
        <w:t>Vispārīga informācija</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RPr="00D1358A" w:rsidP="00721F39" w14:paraId="5811E4F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Mātes sabiedrība un viena tās meitas sabiedrība kā aizdevumu izsniedzēji ir parakstījušas sadarbības līgumus ar savstarpējās finansēšanas platformu. Sadarbības līgums un attiecīgie cesijas līgumi ir spēkā, kamēr sadarbības partneri nav vienojušies pārtrauk</w:t>
      </w:r>
      <w:r w:rsidRPr="00D1358A">
        <w:rPr>
          <w:rFonts w:ascii="Arial Narrow" w:eastAsia="Arial Narrow" w:hAnsi="Arial Narrow" w:cs="Arial Narrow"/>
          <w:sz w:val="16"/>
          <w:szCs w:val="16"/>
          <w:lang w:val="lv-LV"/>
        </w:rPr>
        <w:t>t sadarbību. Sadarbības līguma mērķis ir piesaistīt finansējumu, izmantojot internetā izvietotās savstarpējās kreditēšanas platformas.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RPr="00D1358A" w:rsidP="00721F39" w14:paraId="4189D83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RPr="00D1358A" w:rsidP="00721F39" w14:paraId="60393CF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Savstarpējās kreditēšanas platforma dod iespēju fiziskām un juridiskām personām – investoriem iegūt tiesības</w:t>
      </w:r>
      <w:r w:rsidRPr="00D1358A">
        <w:rPr>
          <w:rFonts w:ascii="Arial Narrow" w:eastAsia="Arial Narrow" w:hAnsi="Arial Narrow" w:cs="Arial Narrow"/>
          <w:sz w:val="16"/>
          <w:szCs w:val="16"/>
          <w:lang w:val="lv-LV"/>
        </w:rPr>
        <w:t xml:space="preserve"> uz pilnībā proporcionālu procentu naudas plūsmu un pamatsummas naudas plūsmu, kas radusies no Koncerna izsniegtiem parāda instrumentiem (no finanšu nomas izrietošās prasības vai aizdevumus un izsniegtos avansus), pret avansa maksājumu pilnā apmērā. Šīs ti</w:t>
      </w:r>
      <w:r w:rsidRPr="00D1358A">
        <w:rPr>
          <w:rFonts w:ascii="Arial Narrow" w:eastAsia="Arial Narrow" w:hAnsi="Arial Narrow" w:cs="Arial Narrow"/>
          <w:sz w:val="16"/>
          <w:szCs w:val="16"/>
          <w:lang w:val="lv-LV"/>
        </w:rPr>
        <w:t>esības ir nostiprinātas, pamatojoties uz cesijas līgumiem starp investoriem un savstarpējās kreditēšanas platformu, kas darbojas kā aģents Koncerna vārdā. Koncerns ir noslēdzis divu veidu līgumus: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RPr="00D1358A" w:rsidP="00721F39" w14:paraId="0EE5321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RPr="00D1358A" w:rsidP="00721F39" w14:paraId="09BF6C1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1) līgumi, saskaņā ar kuriem Koncernam jāgar</w:t>
      </w:r>
      <w:r w:rsidRPr="00D1358A">
        <w:rPr>
          <w:rFonts w:ascii="Arial Narrow" w:eastAsia="Arial Narrow" w:hAnsi="Arial Narrow" w:cs="Arial Narrow"/>
          <w:sz w:val="16"/>
          <w:szCs w:val="16"/>
          <w:lang w:val="lv-LV"/>
        </w:rPr>
        <w:t>antē investora investēto līdzekļu atmaksa pilnā apmērā (sniegta atpakaļpirkuma garantija) klienta saistību neizpildes gadījumā, pamatojoties uz kuriem tiek noslēgts cesijas līgums;</w:t>
      </w:r>
    </w:p>
    <w:p w:rsidR="00721F39" w:rsidRPr="00D1358A" w:rsidP="00721F39" w14:paraId="0FA21F4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2) līgumi, saskaņā ar kuriem Koncernam nav jāgarantē investora investēto lī</w:t>
      </w:r>
      <w:r w:rsidRPr="00D1358A">
        <w:rPr>
          <w:rFonts w:ascii="Arial Narrow" w:eastAsia="Arial Narrow" w:hAnsi="Arial Narrow" w:cs="Arial Narrow"/>
          <w:sz w:val="16"/>
          <w:szCs w:val="16"/>
          <w:lang w:val="lv-LV"/>
        </w:rPr>
        <w:t>dzekļu atmaksa pilnā apmērā (atpakaļpirkuma garantijas nav) klienta saistību neizpildes gadījumā, pamatojoties uz kuriem tiek noslēgts cesijas līgums.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RPr="00D1358A" w:rsidP="00721F39" w14:paraId="59976CE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RPr="00D1358A" w:rsidP="00721F39" w14:paraId="21394F3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Koncerns patur juridiskas tiesības uz saviem parāda instrumentiem (ieskaitot maksājumu</w:t>
      </w:r>
      <w:r w:rsidRPr="00D1358A">
        <w:rPr>
          <w:rFonts w:ascii="Arial Narrow" w:eastAsia="Arial Narrow" w:hAnsi="Arial Narrow" w:cs="Arial Narrow"/>
          <w:sz w:val="16"/>
          <w:szCs w:val="16"/>
          <w:lang w:val="lv-LV"/>
        </w:rPr>
        <w:t xml:space="preserve"> iekasēšanu), bet daļēji nodod taisnīgu daļu un procentus investoriem ar savstarpējās kreditēšanas platformas starpniecību.</w:t>
      </w:r>
      <w:r w:rsidRPr="00D1358A">
        <w:rPr>
          <w:rFonts w:ascii="Arial Narrow" w:eastAsia="Arial Narrow" w:hAnsi="Arial Narrow" w:cs="Arial Narrow"/>
          <w:sz w:val="16"/>
          <w:szCs w:val="16"/>
          <w:lang w:val="lv-LV"/>
        </w:rPr>
        <w:tab/>
      </w:r>
    </w:p>
    <w:p w:rsidR="00721F39" w:rsidRPr="00D1358A" w:rsidP="00721F39" w14:paraId="2EA058B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RPr="00D1358A" w:rsidP="00721F39" w14:paraId="5877D0EC"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Savstarpējās kreditēšanas platformas debitoru un kreditoru parādi</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721F39" w:rsidRPr="00D1358A" w:rsidP="00721F39" w14:paraId="0796DE4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Savstarpējā kreditēšanas platforma darbojas kā</w:t>
      </w:r>
      <w:r w:rsidRPr="00D1358A">
        <w:rPr>
          <w:rFonts w:ascii="Arial Narrow" w:eastAsia="Arial Narrow" w:hAnsi="Arial Narrow" w:cs="Arial Narrow"/>
          <w:sz w:val="16"/>
          <w:szCs w:val="16"/>
          <w:lang w:val="lv-LV"/>
        </w:rPr>
        <w:t xml:space="preserve"> aģents, pārskaitot naudas plūsmas starp Koncernu un investoriem. Debitoru parādi par piesaistīto finansējumu no investoriem, izmantojot savstarpējās kreditēšanas platformu, atbilst no platformas saņemamajiem maksājumiem.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RPr="00D1358A" w:rsidP="00721F39" w14:paraId="41DA1CE3"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Prasības veidojas no cesi</w:t>
      </w:r>
      <w:r w:rsidRPr="00D1358A">
        <w:rPr>
          <w:rFonts w:ascii="Arial Narrow" w:eastAsia="Arial Narrow" w:hAnsi="Arial Narrow" w:cs="Arial Narrow"/>
          <w:sz w:val="16"/>
          <w:szCs w:val="16"/>
          <w:lang w:val="lv-LV"/>
        </w:rPr>
        <w:t>jas, kas veikta savstarpējās kreditēšanas platformā, kuras ietvaros piesaistītais finansējums vēl nav pārskaitīts Koncernam (26. piezīme).</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P="00721F39" w14:paraId="67931B2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Komisijas maksa un maksa par pakalpojumiem, kas Koncernam jāmaksā platformai par finansējuma piesaisti, ir uzrādī</w:t>
      </w:r>
      <w:r w:rsidRPr="00D1358A">
        <w:rPr>
          <w:rFonts w:ascii="Arial Narrow" w:eastAsia="Arial Narrow" w:hAnsi="Arial Narrow" w:cs="Arial Narrow"/>
          <w:sz w:val="16"/>
          <w:szCs w:val="16"/>
          <w:lang w:val="lv-LV"/>
        </w:rPr>
        <w:t>tas 10. piezīmē.</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997916" w:rsidRPr="00D1358A" w:rsidP="00997916" w14:paraId="22548E8D" w14:textId="4A8451AD">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997916" w:rsidP="000524FC" w14:paraId="3E349A80" w14:textId="77777777">
      <w:pPr>
        <w:keepLines/>
        <w:spacing w:after="0"/>
        <w:jc w:val="both"/>
        <w:rPr>
          <w:rFonts w:ascii="Arial Narrow" w:eastAsia="Arial Narrow" w:hAnsi="Arial Narrow" w:cs="Arial Narrow"/>
          <w:sz w:val="16"/>
          <w:szCs w:val="16"/>
          <w:lang w:val="lv-LV"/>
        </w:rPr>
      </w:pPr>
    </w:p>
    <w:p w:rsidR="00997916" w:rsidP="000524FC" w14:paraId="496A5319" w14:textId="77777777">
      <w:pPr>
        <w:keepLines/>
        <w:spacing w:after="0"/>
        <w:jc w:val="both"/>
        <w:rPr>
          <w:rFonts w:ascii="Arial Narrow" w:eastAsia="Arial Narrow" w:hAnsi="Arial Narrow" w:cs="Arial Narrow"/>
          <w:sz w:val="16"/>
          <w:szCs w:val="16"/>
          <w:lang w:val="lv-LV"/>
        </w:rPr>
      </w:pPr>
    </w:p>
    <w:p w:rsidR="00997916" w:rsidRPr="00D1358A" w:rsidP="000524FC" w14:paraId="78915CB7" w14:textId="0317F6F9">
      <w:pPr>
        <w:keepLines/>
        <w:spacing w:after="0"/>
        <w:jc w:val="both"/>
        <w:rPr>
          <w:rFonts w:ascii="Arial Narrow" w:eastAsia="Arial Narrow" w:hAnsi="Arial Narrow" w:cs="Arial Narrow"/>
          <w:sz w:val="16"/>
          <w:szCs w:val="16"/>
          <w:lang w:val="lv-LV"/>
        </w:rPr>
        <w:sectPr w:rsidSect="00B05740">
          <w:headerReference w:type="even" r:id="rId114"/>
          <w:headerReference w:type="default" r:id="rId115"/>
          <w:footerReference w:type="even" r:id="rId116"/>
          <w:footerReference w:type="default" r:id="rId117"/>
          <w:headerReference w:type="first" r:id="rId118"/>
          <w:footerReference w:type="first" r:id="rId119"/>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p>
    <w:p w:rsidR="00A5438E" w:rsidRPr="00D1358A" w:rsidP="008E47ED" w14:paraId="270CDE21" w14:textId="77777777">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2. Nozīmīgu grāmatvedības uzskaites principu kopsavilkums (turpinājums)</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A5438E" w:rsidRPr="00D1358A" w:rsidP="008E47ED" w14:paraId="33B27247" w14:textId="53675B6B">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d</w:t>
      </w:r>
      <w:r w:rsidRPr="00D1358A" w:rsidR="006E614D">
        <w:rPr>
          <w:rFonts w:ascii="Arial Narrow" w:eastAsia="Arial Narrow" w:hAnsi="Arial Narrow" w:cs="Arial Narrow"/>
          <w:b/>
          <w:bCs/>
          <w:i/>
          <w:iCs/>
          <w:sz w:val="16"/>
          <w:szCs w:val="16"/>
          <w:lang w:val="lv-LV"/>
        </w:rPr>
        <w:t>) Svarīgākās grāmatvedības uzskaites politikas (turpinājums)</w:t>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p>
    <w:p w:rsidR="00721F39" w:rsidP="000524FC" w14:paraId="3DB74A88" w14:textId="77777777">
      <w:pPr>
        <w:keepLines/>
        <w:spacing w:after="0"/>
        <w:jc w:val="both"/>
        <w:rPr>
          <w:rFonts w:ascii="Arial Narrow" w:eastAsia="Arial Narrow" w:hAnsi="Arial Narrow" w:cs="Arial Narrow"/>
          <w:sz w:val="16"/>
          <w:szCs w:val="16"/>
          <w:lang w:val="lv-LV"/>
        </w:rPr>
      </w:pPr>
    </w:p>
    <w:p w:rsidR="00A5438E" w:rsidRPr="00D1358A" w:rsidP="000524FC" w14:paraId="1973A1DD" w14:textId="5E36474B">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 xml:space="preserve">Darījumi ar savstarpējās kreditēšanas </w:t>
      </w:r>
      <w:r w:rsidRPr="00D1358A">
        <w:rPr>
          <w:rFonts w:ascii="Arial Narrow" w:eastAsia="Arial Narrow" w:hAnsi="Arial Narrow" w:cs="Arial Narrow"/>
          <w:b/>
          <w:bCs/>
          <w:i/>
          <w:iCs/>
          <w:sz w:val="16"/>
          <w:szCs w:val="16"/>
          <w:lang w:val="lv-LV"/>
        </w:rPr>
        <w:t>platformām</w:t>
      </w:r>
      <w:r>
        <w:rPr>
          <w:rFonts w:ascii="Arial Narrow" w:eastAsia="Arial Narrow" w:hAnsi="Arial Narrow" w:cs="Arial Narrow"/>
          <w:b/>
          <w:bCs/>
          <w:i/>
          <w:iCs/>
          <w:sz w:val="16"/>
          <w:szCs w:val="16"/>
          <w:lang w:val="lv-LV"/>
        </w:rPr>
        <w:t xml:space="preserve"> (turpinājums)</w:t>
      </w:r>
      <w:r w:rsidRPr="00D1358A">
        <w:rPr>
          <w:rFonts w:ascii="Arial Narrow" w:eastAsia="Arial Narrow" w:hAnsi="Arial Narrow" w:cs="Arial Narrow"/>
          <w:b/>
          <w:bCs/>
          <w:i/>
          <w:iCs/>
          <w:sz w:val="16"/>
          <w:szCs w:val="16"/>
          <w:lang w:val="lv-LV"/>
        </w:rPr>
        <w:t xml:space="preserve"> </w:t>
      </w:r>
      <w:r w:rsidRPr="00D1358A">
        <w:rPr>
          <w:rFonts w:ascii="Arial Narrow" w:eastAsia="Arial Narrow" w:hAnsi="Arial Narrow" w:cs="Arial Narrow"/>
          <w:b/>
          <w:bCs/>
          <w:i/>
          <w:iCs/>
          <w:sz w:val="16"/>
          <w:szCs w:val="16"/>
          <w:lang w:val="lv-LV"/>
        </w:rPr>
        <w:tab/>
      </w:r>
      <w:r w:rsidRPr="00D1358A" w:rsidR="00632259">
        <w:rPr>
          <w:rFonts w:ascii="Arial Narrow" w:eastAsia="Arial Narrow" w:hAnsi="Arial Narrow" w:cs="Arial Narrow"/>
          <w:sz w:val="16"/>
          <w:szCs w:val="16"/>
          <w:lang w:val="lv-LV"/>
        </w:rPr>
        <w:tab/>
      </w:r>
      <w:r w:rsidRPr="00D1358A" w:rsidR="00632259">
        <w:rPr>
          <w:rFonts w:ascii="Arial Narrow" w:eastAsia="Arial Narrow" w:hAnsi="Arial Narrow" w:cs="Arial Narrow"/>
          <w:sz w:val="16"/>
          <w:szCs w:val="16"/>
          <w:lang w:val="lv-LV"/>
        </w:rPr>
        <w:tab/>
      </w:r>
      <w:r w:rsidRPr="00D1358A" w:rsidR="00632259">
        <w:rPr>
          <w:rFonts w:ascii="Arial Narrow" w:eastAsia="Arial Narrow" w:hAnsi="Arial Narrow" w:cs="Arial Narrow"/>
          <w:sz w:val="16"/>
          <w:szCs w:val="16"/>
          <w:lang w:val="lv-LV"/>
        </w:rPr>
        <w:tab/>
      </w:r>
      <w:r w:rsidRPr="00D1358A" w:rsidR="00632259">
        <w:rPr>
          <w:rFonts w:ascii="Arial Narrow" w:eastAsia="Arial Narrow" w:hAnsi="Arial Narrow" w:cs="Arial Narrow"/>
          <w:sz w:val="16"/>
          <w:szCs w:val="16"/>
          <w:lang w:val="lv-LV"/>
        </w:rPr>
        <w:tab/>
      </w:r>
    </w:p>
    <w:p w:rsidR="00A5438E" w:rsidRPr="00D1358A" w:rsidP="008E47ED" w14:paraId="04155B5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25E4AC9"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Savstarpējās kreditēšanas platformās piesaistīts finansējums</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3667D89D"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Saistības, kas rodas no cesijas līgumiem ar regresa prasījuma tiesībām vai bez tām, sākotnēji tiek atzītas izmaksu (iegādes) vērtībā, kas ir no i</w:t>
      </w:r>
      <w:r w:rsidRPr="00D1358A">
        <w:rPr>
          <w:rFonts w:ascii="Arial Narrow" w:eastAsia="Arial Narrow" w:hAnsi="Arial Narrow" w:cs="Arial Narrow"/>
          <w:sz w:val="16"/>
          <w:szCs w:val="16"/>
          <w:lang w:val="lv-LV"/>
        </w:rPr>
        <w:t>nvestoriem saņemtās atlīdzības patiesā vērtība, no kuras atskaitītas ar aizdevuma izsniegšanu saistītās izmaksas.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3D766E3" w14:textId="7936BA29">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Saistības pret investoriem tiek uzskaitītas bilances postenī “Savstarpējās kreditēšanas platformās piesaistīts finansējums” (31. piez</w:t>
      </w:r>
      <w:r w:rsidRPr="00D1358A">
        <w:rPr>
          <w:rFonts w:ascii="Arial Narrow" w:eastAsia="Arial Narrow" w:hAnsi="Arial Narrow" w:cs="Arial Narrow"/>
          <w:sz w:val="16"/>
          <w:szCs w:val="16"/>
          <w:lang w:val="lv-LV"/>
        </w:rPr>
        <w:t>īme), un tos uzskaita kā saņemtos aizņēmumus.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992FBD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Pēc sākotnējās atzīšanas finansējums, kas piesaistīts, izmantojot savstarpējās kreditēšanas platformu, turpmāk tiek novērtēts tā amortizētajā vērtībā, izmantojot efektīvās procentu likmes metodi. Amortizētā </w:t>
      </w:r>
      <w:r w:rsidRPr="00D1358A">
        <w:rPr>
          <w:rFonts w:ascii="Arial Narrow" w:eastAsia="Arial Narrow" w:hAnsi="Arial Narrow" w:cs="Arial Narrow"/>
          <w:sz w:val="16"/>
          <w:szCs w:val="16"/>
          <w:lang w:val="lv-LV"/>
        </w:rPr>
        <w:t xml:space="preserve">vērtība tiek aprēķināta, ņemot vērā aizdevuma izsniegšanas vai aizņēmuma saņemšanas izmaksas, kā arī jebkādus ar aizdevumu vai aizņēmumu saistītos diskontus vai prēmijas. Peļņa vai zaudējumi tiek atzīti peļņas vai zaudējumu aprēķinā kā procentu ienākumi / </w:t>
      </w:r>
      <w:r w:rsidRPr="00D1358A">
        <w:rPr>
          <w:rFonts w:ascii="Arial Narrow" w:eastAsia="Arial Narrow" w:hAnsi="Arial Narrow" w:cs="Arial Narrow"/>
          <w:sz w:val="16"/>
          <w:szCs w:val="16"/>
          <w:lang w:val="lv-LV"/>
        </w:rPr>
        <w:t>izmaksās brīdi, kad saistību atzīšana tiek pārtraukta.</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0524FC" w14:paraId="3B28C1C3" w14:textId="3936751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Koncernam ir jāatmaksā investoram proporcionāla daļa no piesaistītā finansējuma par katru parāda instrumentu saskaņā ar attiecīgā individuālā līguma nosacījumiem ar Koncerna klientu, kas var i</w:t>
      </w:r>
      <w:r w:rsidRPr="00D1358A">
        <w:rPr>
          <w:rFonts w:ascii="Arial Narrow" w:eastAsia="Arial Narrow" w:hAnsi="Arial Narrow" w:cs="Arial Narrow"/>
          <w:sz w:val="16"/>
          <w:szCs w:val="16"/>
          <w:lang w:val="lv-LV"/>
        </w:rPr>
        <w:t>lgt līdz 72 mēnešiem.</w:t>
      </w:r>
    </w:p>
    <w:p w:rsidR="00A5438E" w:rsidRPr="00D1358A" w:rsidP="008E47ED" w14:paraId="259E1B0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D7E9B94"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Cesijas līgumi ar atpakaļpirkuma garantijām</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3D2348AB" w14:textId="059B825C">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Cesijas līgumi ar atpakaļpirkuma garantijām nodrošina tiešu atpakaļpirkumu Koncernam, tādējādi tie neatbilst kritērijiem, kas ļautu tos klasificēt par līgumiem, kas paredz</w:t>
      </w:r>
      <w:r w:rsidRPr="00D1358A">
        <w:rPr>
          <w:rFonts w:ascii="Arial Narrow" w:eastAsia="Arial Narrow" w:hAnsi="Arial Narrow" w:cs="Arial Narrow"/>
          <w:sz w:val="16"/>
          <w:szCs w:val="16"/>
          <w:lang w:val="lv-LV"/>
        </w:rPr>
        <w:t xml:space="preserve"> “tranzīta pārskaitījumus” saskaņā ar SFPS Nr. 9.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DA7A20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Līdz ar to Koncerna attiecīgie parāda instrumenti neatbilst daļējas atzīšanas pārtraukšanas prasībām un procentu izmaksas, kas atspoguļo investoram samaksātos procentus, tiek uzrādītas bilances po</w:t>
      </w:r>
      <w:r w:rsidRPr="00D1358A">
        <w:rPr>
          <w:rFonts w:ascii="Arial Narrow" w:eastAsia="Arial Narrow" w:hAnsi="Arial Narrow" w:cs="Arial Narrow"/>
          <w:sz w:val="16"/>
          <w:szCs w:val="16"/>
          <w:lang w:val="lv-LV"/>
        </w:rPr>
        <w:t>stenī “Procentu izmaksas un tamlīdzīgas izmaksas” (5. piezīme).</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3D5BEE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A09E5C3"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Cesijas līgumi bez atpakaļpirkuma garantijām</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08C019A6" w14:textId="4390A9AF">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Cesijas līgumi bez atpakaļpirkuma prasībām ir līgumi, kas būtībā nodod investoriem visus ar īpašumtiesībām saistītos ri</w:t>
      </w:r>
      <w:r w:rsidRPr="00D1358A">
        <w:rPr>
          <w:rFonts w:ascii="Arial Narrow" w:eastAsia="Arial Narrow" w:hAnsi="Arial Narrow" w:cs="Arial Narrow"/>
          <w:sz w:val="16"/>
          <w:szCs w:val="16"/>
          <w:lang w:val="lv-LV"/>
        </w:rPr>
        <w:t>skus un atlīdzības, kas ir vienāda ar pilnībā proporcionālu naudas plūsmas daļu, kas saņemama no Koncerna parāda instrumentiem. Tādēļ šādus līgumus klasificē kā vienošanos par tranzīta pārskaitījumiem saskaņā ar SFPS Nr. 9.</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34519D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Tādējādi tiek pārtraukta a</w:t>
      </w:r>
      <w:r w:rsidRPr="00D1358A">
        <w:rPr>
          <w:rFonts w:ascii="Arial Narrow" w:eastAsia="Arial Narrow" w:hAnsi="Arial Narrow" w:cs="Arial Narrow"/>
          <w:sz w:val="16"/>
          <w:szCs w:val="16"/>
          <w:lang w:val="lv-LV"/>
        </w:rPr>
        <w:t>tzīšana pilnai proporcionālai daļai, kas vienāda ar investora prasību saistībā ar attiecīgo parāda instrumentu.</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721F39" w:rsidP="008E47ED" w14:paraId="4CB91F60" w14:textId="6CA26466">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Daļa, kuras atzīšana ir pārtraukta, tiek uzskaitīta ārpusbilancē (19. piezīme), un procentu ieņēmumi tiek atzīti attiecībā uz atlikušo līdzdalību. Atlikusī līdzdalība ir starpība starp procentiem, kas nopelnīti par attiecīgo Koncerna parāda instrumentu, un</w:t>
      </w:r>
      <w:r w:rsidRPr="00D1358A">
        <w:rPr>
          <w:rFonts w:ascii="Arial Narrow" w:eastAsia="Arial Narrow" w:hAnsi="Arial Narrow" w:cs="Arial Narrow"/>
          <w:sz w:val="16"/>
          <w:szCs w:val="16"/>
          <w:lang w:val="lv-LV"/>
        </w:rPr>
        <w:t xml:space="preserve"> attiecīgo procentu daļu, ko nopelnījis investors.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F39C6BB" w14:textId="6C013934">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689AD54"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Rezerves</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7ACB4E9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Ārvalstu valūtu pārvērtēšanas rezerve</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49330AD"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Veicot pāreju no Latvijas latiem uz EUR, Koncernam ir izveidojusies valūtas pārvērtēšanas rezerve EUR 1 apmērā.</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DBF48AB"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Patiesās vērtības rezerve</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2E53B093"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Patiesās vērtības rezerve ietver kumulatīvās neto izmaiņas FVOCI parāda vērtspapīru patiesajā vērtībā līdz brīdim, kad aktīva atzīšana tiek pārtraukta vai tas tiek pārklasificēts.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BA9B2F8"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Pārējās rezerves</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4A284D" w14:paraId="79C780B9" w14:textId="2C475556">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Pārēj</w:t>
      </w:r>
      <w:r w:rsidRPr="00D1358A">
        <w:rPr>
          <w:rFonts w:ascii="Arial Narrow" w:eastAsia="Arial Narrow" w:hAnsi="Arial Narrow" w:cs="Arial Narrow"/>
          <w:sz w:val="16"/>
          <w:szCs w:val="16"/>
          <w:lang w:val="lv-LV"/>
        </w:rPr>
        <w:t>ās rezerves tiek izmantotas, lai reģistrētu ietekmi no darījumiem ar īpašniekiem īpašnieku kapacitātē, un ietver Koncerna izsniegtas finanšu garantijas.</w:t>
      </w:r>
      <w:r w:rsidRPr="00D1358A">
        <w:rPr>
          <w:rFonts w:ascii="Arial Narrow" w:eastAsia="Arial Narrow" w:hAnsi="Arial Narrow" w:cs="Arial Narrow"/>
          <w:sz w:val="16"/>
          <w:szCs w:val="16"/>
          <w:lang w:val="lv-LV"/>
        </w:rPr>
        <w:tab/>
      </w:r>
    </w:p>
    <w:p w:rsidR="004A284D" w:rsidRPr="00D1358A" w:rsidP="008E47ED" w14:paraId="1EDA0039" w14:textId="77777777">
      <w:pPr>
        <w:keepLines/>
        <w:spacing w:after="0"/>
        <w:jc w:val="both"/>
        <w:rPr>
          <w:rFonts w:ascii="Arial Narrow" w:eastAsia="Arial Narrow" w:hAnsi="Arial Narrow" w:cs="Arial Narrow"/>
          <w:b/>
          <w:bCs/>
          <w:sz w:val="16"/>
          <w:szCs w:val="16"/>
          <w:lang w:val="lv-LV"/>
        </w:rPr>
        <w:sectPr w:rsidSect="00B05740">
          <w:headerReference w:type="even" r:id="rId120"/>
          <w:headerReference w:type="default" r:id="rId121"/>
          <w:footerReference w:type="even" r:id="rId122"/>
          <w:footerReference w:type="default" r:id="rId123"/>
          <w:headerReference w:type="first" r:id="rId124"/>
          <w:footerReference w:type="first" r:id="rId125"/>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p>
    <w:p w:rsidR="00A5438E" w:rsidRPr="00D1358A" w:rsidP="008E47ED" w14:paraId="75A22FE4" w14:textId="5633DE0A">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sz w:val="16"/>
          <w:szCs w:val="16"/>
          <w:lang w:val="lv-LV"/>
        </w:rPr>
        <w:t>2. Nozīmīgu grāmatvedības uzskaites principu kopsavilkums (turpinājums</w:t>
      </w:r>
      <w:r w:rsidRPr="00D1358A">
        <w:rPr>
          <w:rFonts w:ascii="Arial Narrow" w:eastAsia="Arial Narrow" w:hAnsi="Arial Narrow" w:cs="Arial Narrow"/>
          <w:b/>
          <w:bCs/>
          <w:i/>
          <w:iCs/>
          <w:sz w:val="16"/>
          <w:szCs w:val="16"/>
          <w:lang w:val="lv-LV"/>
        </w:rPr>
        <w:t>)</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6A14333D" w14:textId="705AB37C">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d</w:t>
      </w:r>
      <w:r w:rsidRPr="00D1358A" w:rsidR="006E614D">
        <w:rPr>
          <w:rFonts w:ascii="Arial Narrow" w:eastAsia="Arial Narrow" w:hAnsi="Arial Narrow" w:cs="Arial Narrow"/>
          <w:b/>
          <w:bCs/>
          <w:i/>
          <w:iCs/>
          <w:sz w:val="16"/>
          <w:szCs w:val="16"/>
          <w:lang w:val="lv-LV"/>
        </w:rPr>
        <w:t>) Svarīgākās grāmatvedības uzskaites politikas (turpinājums)</w:t>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p>
    <w:p w:rsidR="00A5438E" w:rsidRPr="00D1358A" w:rsidP="008E47ED" w14:paraId="23FE9D47"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79E478C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Uzkrājumi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4A284D" w14:paraId="5F56A8BB" w14:textId="47A19AC9">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Uzkrājumi tiek atzīti, kad Koncernam ir pašreizējs pienākums (juridisks vai prakses radīts pienākums), ko ir izraisījis kāds pagātnes notikums, un pastāv var</w:t>
      </w:r>
      <w:r w:rsidRPr="00D1358A">
        <w:rPr>
          <w:rFonts w:ascii="Arial Narrow" w:eastAsia="Arial Narrow" w:hAnsi="Arial Narrow" w:cs="Arial Narrow"/>
          <w:sz w:val="16"/>
          <w:szCs w:val="16"/>
          <w:lang w:val="lv-LV"/>
        </w:rPr>
        <w:t>būtība, ka šo saistību izpildei būs nepieciešama ekonomiskos labumus ietverošu resursu aizplūšana no Koncerna, un saistību apjomu iespējams pietiekami ticami novērtēt. Ja Koncerns paredz, ka uzkrājumu izveidošanai nepieciešamie izdevumi tiks daļēji vai pil</w:t>
      </w:r>
      <w:r w:rsidRPr="00D1358A">
        <w:rPr>
          <w:rFonts w:ascii="Arial Narrow" w:eastAsia="Arial Narrow" w:hAnsi="Arial Narrow" w:cs="Arial Narrow"/>
          <w:sz w:val="16"/>
          <w:szCs w:val="16"/>
          <w:lang w:val="lv-LV"/>
        </w:rPr>
        <w:t xml:space="preserve">nībā atmaksāti, šo izdevumu atmaksa tiek atzīta kā atsevišķs aktīvs tikai un vienīgi tad, kad ir praktiski skaidrs, ka šie izdevumi patiešām tiks atmaksāti. Ar jebkādu uzkrājumu saistītās izmaksas peļņas vai zaudējumu aprēķinā tiek atspoguļotas, atskaitot </w:t>
      </w:r>
      <w:r w:rsidRPr="00D1358A">
        <w:rPr>
          <w:rFonts w:ascii="Arial Narrow" w:eastAsia="Arial Narrow" w:hAnsi="Arial Narrow" w:cs="Arial Narrow"/>
          <w:sz w:val="16"/>
          <w:szCs w:val="16"/>
          <w:lang w:val="lv-LV"/>
        </w:rPr>
        <w:t>summas, kas ir atgūtas. Gadījumā, kad būtiska ietekme ir naudas vērtībai laikā, uzkrājumi tiek aprēķināti, diskontējot paredzamo nākotnes naudas plūsmu, izmantojot pirmsnodokļu likmi, kas atspoguļo riskus, kas attiecas uz konkrētajām saistībām. Ja tiek vei</w:t>
      </w:r>
      <w:r w:rsidRPr="00D1358A">
        <w:rPr>
          <w:rFonts w:ascii="Arial Narrow" w:eastAsia="Arial Narrow" w:hAnsi="Arial Narrow" w:cs="Arial Narrow"/>
          <w:sz w:val="16"/>
          <w:szCs w:val="16"/>
          <w:lang w:val="lv-LV"/>
        </w:rPr>
        <w:t>kta diskontēšana, uzkrājumu palielināšana laika gaitā tiek atzīta kā aizņēmumu izmaksas.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A93ECB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7ED2011"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 xml:space="preserve">Iespējamās saistības un aktīvi </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06435B" w14:paraId="12021FDA" w14:textId="33C53A90">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Šajā finanšu pārskatā iespējamās saistības nav atzītas. Tās kā saistības tiek atzītas tikai tad, ja iespējamība,</w:t>
      </w:r>
      <w:r w:rsidRPr="00D1358A">
        <w:rPr>
          <w:rFonts w:ascii="Arial Narrow" w:eastAsia="Arial Narrow" w:hAnsi="Arial Narrow" w:cs="Arial Narrow"/>
          <w:sz w:val="16"/>
          <w:szCs w:val="16"/>
          <w:lang w:val="lv-LV"/>
        </w:rPr>
        <w:t xml:space="preserve"> ka līdzekļi tiks izdoti, kļūst pietiekami pamatota. Iespējamie aktīvi šajā finanšu pārskatā netiek atzīti, bet tiek atspoguļoti tikai tad, kad iespējamība, ka ar darījumu saistītie ekonomiskie guvumi nonāks līdz Koncernam, ir pietiekami pamatota.</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68CB7B2"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F702F23"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Maksājumi ar akcijām</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5DCD14C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Pašu kapitāla darījumi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FA2DF93"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Izmaksas, kas radušās no darījumiem ar norēķiniem pašu kapitālā, tiek noteiktas patiesajā vērtībā datumā, kad norēķins ir piešķirts, izmantojot atbilstošu vērtēšanas modeli. Izmaksas tie</w:t>
      </w:r>
      <w:r w:rsidRPr="00D1358A">
        <w:rPr>
          <w:rFonts w:ascii="Arial Narrow" w:eastAsia="Arial Narrow" w:hAnsi="Arial Narrow" w:cs="Arial Narrow"/>
          <w:sz w:val="16"/>
          <w:szCs w:val="16"/>
          <w:lang w:val="lv-LV"/>
        </w:rPr>
        <w:t>k atzītas kā darbinieku pabalstu izmaksas kopā ar attiecīgu pieaugumu pašu kapitālā (citas kapitāla rezerves) laika periodā, kurā pakalpojums tiek sniegts un atkarībā no apstākļiem darba izpildes nosacījumi izpildīti (garantēšanas periods). Kumulatīvās izm</w:t>
      </w:r>
      <w:r w:rsidRPr="00D1358A">
        <w:rPr>
          <w:rFonts w:ascii="Arial Narrow" w:eastAsia="Arial Narrow" w:hAnsi="Arial Narrow" w:cs="Arial Narrow"/>
          <w:sz w:val="16"/>
          <w:szCs w:val="16"/>
          <w:lang w:val="lv-LV"/>
        </w:rPr>
        <w:t>aksas, kas saistībā ar pašu kapitāla darījumiem atzītas katrā pārskata datumā līdz garantēšanas datumam, atspoguļo pagājušo garantēšanas perioda laiku un Koncerna veikto labāko aplēsi attiecībā uz to pašu kapitāla instrumentu skaitu, kas galu galā tiks gar</w:t>
      </w:r>
      <w:r w:rsidRPr="00D1358A">
        <w:rPr>
          <w:rFonts w:ascii="Arial Narrow" w:eastAsia="Arial Narrow" w:hAnsi="Arial Narrow" w:cs="Arial Narrow"/>
          <w:sz w:val="16"/>
          <w:szCs w:val="16"/>
          <w:lang w:val="lv-LV"/>
        </w:rPr>
        <w:t>antēti. Izmaksas vai ieņēmumi peļņas vai zaudējumu aprēķinā un pārējo apvienoto ienākumu pārskatā par attiecīgo periodu atspoguļo izmaiņas perioda sākumā un beigās atzītajās kumulatīvajās izmaksās.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F5E1BE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06435B" w14:paraId="3E9DF92C" w14:textId="1AC8E784">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Nekādas izmaksas netiek atzītas attiecī</w:t>
      </w:r>
      <w:r w:rsidRPr="00D1358A">
        <w:rPr>
          <w:rFonts w:ascii="Arial Narrow" w:eastAsia="Arial Narrow" w:hAnsi="Arial Narrow" w:cs="Arial Narrow"/>
          <w:sz w:val="16"/>
          <w:szCs w:val="16"/>
          <w:lang w:val="lv-LV"/>
        </w:rPr>
        <w:t>bā uz atlīdzībām, kas galu galā netiek garantētas, jo nav izpildītas attiecīgās ārpustirgus saistības un/vai pakalpojumu nosacījumi. Ja atlīdzības ietver tirgus vai negarantētus nosacījumus, darījumi tiek uzskaitīti kā garantēti neatkarīgi no tā vai negara</w:t>
      </w:r>
      <w:r w:rsidRPr="00D1358A">
        <w:rPr>
          <w:rFonts w:ascii="Arial Narrow" w:eastAsia="Arial Narrow" w:hAnsi="Arial Narrow" w:cs="Arial Narrow"/>
          <w:sz w:val="16"/>
          <w:szCs w:val="16"/>
          <w:lang w:val="lv-LV"/>
        </w:rPr>
        <w:t>ntētie nosacījumi ir izpildīti, ja visas citas saistības un/vai pakalpojumu nosacījumi ir izpildīti.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D6CE9F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06435B" w14:paraId="495EFB9B" w14:textId="2866688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Ja atlīdzības pašu kapitāla darījuma veidā nosacījumi tiek mainīti, minimālā atzīstamā izmaksu summa ir nemodificētās atlīdzības patiesā vērt</w:t>
      </w:r>
      <w:r w:rsidRPr="00D1358A">
        <w:rPr>
          <w:rFonts w:ascii="Arial Narrow" w:eastAsia="Arial Narrow" w:hAnsi="Arial Narrow" w:cs="Arial Narrow"/>
          <w:sz w:val="16"/>
          <w:szCs w:val="16"/>
          <w:lang w:val="lv-LV"/>
        </w:rPr>
        <w:t>ība piešķiršanas datumā, ja atlīdzības sākotnējie nosacījumi ir izpildīti. Papildu izmaksas, kas tiek noteiktas izmaiņu datumā, tiek atzītas par jebkādām izmaiņām, kas palielina ar akcijām veikto maksājumu kopējo patieso vērtību vai kā citādi dod darbiniek</w:t>
      </w:r>
      <w:r w:rsidRPr="00D1358A">
        <w:rPr>
          <w:rFonts w:ascii="Arial Narrow" w:eastAsia="Arial Narrow" w:hAnsi="Arial Narrow" w:cs="Arial Narrow"/>
          <w:sz w:val="16"/>
          <w:szCs w:val="16"/>
          <w:lang w:val="lv-LV"/>
        </w:rPr>
        <w:t>am zināmu labumu. Ja uzņēmums vai darījuma puse anulē atlīdzību, jebkāda atlīdzības atlikusī patiesā vērtība tiek nekavējoties atzīta peļņas vai zaudējumu aprēķinā kā izmaksas.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BE7542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4945D1E"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Ieņēmumi un izmaksas</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06435B" w14:paraId="1C85637C" w14:textId="7BC4D802">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Izmaksas tiek atzītas to rašanās </w:t>
      </w:r>
      <w:r w:rsidRPr="00D1358A">
        <w:rPr>
          <w:rFonts w:ascii="Arial Narrow" w:eastAsia="Arial Narrow" w:hAnsi="Arial Narrow" w:cs="Arial Narrow"/>
          <w:sz w:val="16"/>
          <w:szCs w:val="16"/>
          <w:lang w:val="lv-LV"/>
        </w:rPr>
        <w:t>brīdī. Izmaksas atzīst bez pievienotās vērtības nodokļa. Dažās situācijās nav iespējams pilnībā atgūt PVN par saņemtiem pakalpojumiem vai PVN, kas aprēķināts saskaņā ar spēkā esošo likumdošanu. Šādos gadījumos PVN atzīst attiecīgā izdevumu posteņa sastāvā.</w:t>
      </w:r>
      <w:r w:rsidRPr="00D1358A">
        <w:rPr>
          <w:rFonts w:ascii="Arial Narrow" w:eastAsia="Arial Narrow" w:hAnsi="Arial Narrow" w:cs="Arial Narrow"/>
          <w:sz w:val="16"/>
          <w:szCs w:val="16"/>
          <w:lang w:val="lv-LV"/>
        </w:rPr>
        <w:t xml:space="preserve"> Tāds pats princips tiek piemērots gadījumos, kad nav atgūstams aktīva iegādes darījumā samaksāts PVN.</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06435B" w14:paraId="5A1BDA04" w14:textId="499FC42E">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Ieņēmumi tiek atzīti atbilstoši pārliecībai par Koncerna iespēju gūt ekonomisko labumu un tik lielā apmērā, kādā to iespējams pamatoti noteikt.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987BF1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7B9D36E"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Efektīvās procentu likmes metode</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5EF0FE4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Saskaņā ar SFPS Nr.9 procentu ieņēmumus un izdevumus uzrāda, visiem amortizētajā iegādes vērtībā </w:t>
      </w:r>
      <w:r w:rsidRPr="00D1358A">
        <w:rPr>
          <w:rFonts w:ascii="Arial Narrow" w:eastAsia="Arial Narrow" w:hAnsi="Arial Narrow" w:cs="Arial Narrow"/>
          <w:sz w:val="16"/>
          <w:szCs w:val="16"/>
          <w:lang w:val="lv-LV"/>
        </w:rPr>
        <w:t xml:space="preserve">novērtētajiem finanšu aktīviem piemērojot efektīvo procentu likmi, kas precīzi diskontē aplēstos nākotnes naudas maksājumus vai ieņēmumus visā finanšu instrumenta lietderīgās izmantošanas laikā vai atkarībā no apstākļiem īsākā laika periodā līdz attiecīgā </w:t>
      </w:r>
      <w:r w:rsidRPr="00D1358A">
        <w:rPr>
          <w:rFonts w:ascii="Arial Narrow" w:eastAsia="Arial Narrow" w:hAnsi="Arial Narrow" w:cs="Arial Narrow"/>
          <w:sz w:val="16"/>
          <w:szCs w:val="16"/>
          <w:lang w:val="lv-LV"/>
        </w:rPr>
        <w:t>finanšu aktīva vai saistību neto uzskaites vērtībai.  Aprēķinā tiek ņemti vērā visi finanšu instrumenta līguma nosacījumi, un tas ietver visas maksas vai papildu izmaksas, kas ir tieši attiecināmas uz šo instrumentu un ir neatņemama efektīvās procentu likm</w:t>
      </w:r>
      <w:r w:rsidRPr="00D1358A">
        <w:rPr>
          <w:rFonts w:ascii="Arial Narrow" w:eastAsia="Arial Narrow" w:hAnsi="Arial Narrow" w:cs="Arial Narrow"/>
          <w:sz w:val="16"/>
          <w:szCs w:val="16"/>
          <w:lang w:val="lv-LV"/>
        </w:rPr>
        <w:t xml:space="preserve">es, bet ne nākotnes kredītu zaudējumu sastāvdaļa.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14F97A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06435B" w14:paraId="446FC4EB" w14:textId="1135F181">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Kad finanšu aktīvs kļūst par tādu, kura vērtība ir samazinājusies, un tiek klasificēts kā 3. kategorijas, Koncerns aprēķina procentu ienākumus, piemērojot EIR finanšu aktīva neto amortiz</w:t>
      </w:r>
      <w:r w:rsidRPr="00D1358A">
        <w:rPr>
          <w:rFonts w:ascii="Arial Narrow" w:eastAsia="Arial Narrow" w:hAnsi="Arial Narrow" w:cs="Arial Narrow"/>
          <w:sz w:val="16"/>
          <w:szCs w:val="16"/>
          <w:lang w:val="lv-LV"/>
        </w:rPr>
        <w:t xml:space="preserve">ētajai iegādes vērtībai. Ja finanšu aktīvs atveseļojas un tā vērtība vairs netiek uzskatīta par samazinātu, Koncerns atkal aprēķina procentu ienākumus bruto vērtībā.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EE24B5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A71AFB0"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Ienākumi no bezcerīgo parādu cedēšanas</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166DAD4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Peļņa vai zaudējumi no ša</w:t>
      </w:r>
      <w:r w:rsidRPr="00D1358A">
        <w:rPr>
          <w:rFonts w:ascii="Arial Narrow" w:eastAsia="Arial Narrow" w:hAnsi="Arial Narrow" w:cs="Arial Narrow"/>
          <w:sz w:val="16"/>
          <w:szCs w:val="16"/>
          <w:lang w:val="lv-LV"/>
        </w:rPr>
        <w:t>ubīgu no finanšu nomas izrietošu prasību un kredītu un izsniegtu avansu pārdošanas tiek uzrādīti neto vērtībā postenī “Neto zaudējumi no amortizētajā izmaksu vērtībā novērtēto finanšu aktīvu atzīšanas pārtraukšanas”. Peļņa vai zaudējumi, kas rodas no cesij</w:t>
      </w:r>
      <w:r w:rsidRPr="00D1358A">
        <w:rPr>
          <w:rFonts w:ascii="Arial Narrow" w:eastAsia="Arial Narrow" w:hAnsi="Arial Narrow" w:cs="Arial Narrow"/>
          <w:sz w:val="16"/>
          <w:szCs w:val="16"/>
          <w:lang w:val="lv-LV"/>
        </w:rPr>
        <w:t>as darījumiem, tiek atzīti konsolidētajā peļņas vai zaudējumu un apvienoto ienākumu pārskatā darījuma datumā kā starpība starp saņemtajiem ieņēmumiem un cedēto atzīto pārtraukto nomas debitoru uzskaites vērtību.</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11F1E53"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1DB372F"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Finansējuma piesaistes iz</w:t>
      </w:r>
      <w:r w:rsidRPr="00D1358A">
        <w:rPr>
          <w:rFonts w:ascii="Arial Narrow" w:eastAsia="Arial Narrow" w:hAnsi="Arial Narrow" w:cs="Arial Narrow"/>
          <w:i/>
          <w:iCs/>
          <w:sz w:val="16"/>
          <w:szCs w:val="16"/>
          <w:lang w:val="lv-LV"/>
        </w:rPr>
        <w:t>maksas</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31E0E88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Izmaksas, kas saistītas ir finansējuma piesaisti, ietver savstarpējo kreditēšanas platformu izmantošanas administrācijas izmaksas. Rēķini par šiem izdevumiem tiek sagatavoti katru mēnesi, un izdevumi tiek atzīti Koncerna peļņas vai zaudējum</w:t>
      </w:r>
      <w:r w:rsidRPr="00D1358A">
        <w:rPr>
          <w:rFonts w:ascii="Arial Narrow" w:eastAsia="Arial Narrow" w:hAnsi="Arial Narrow" w:cs="Arial Narrow"/>
          <w:sz w:val="16"/>
          <w:szCs w:val="16"/>
          <w:lang w:val="lv-LV"/>
        </w:rPr>
        <w:t>u un apvienoto ienākumu pārskatā to rašanās brīdī.</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C4576C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632259" w:rsidP="008E47ED" w14:paraId="2B9334F8" w14:textId="3851C49C">
      <w:pPr>
        <w:keepLines/>
        <w:spacing w:after="0"/>
        <w:jc w:val="both"/>
        <w:rPr>
          <w:rFonts w:ascii="Arial Narrow" w:eastAsia="Arial Narrow" w:hAnsi="Arial Narrow" w:cs="Arial Narrow"/>
          <w:sz w:val="16"/>
          <w:szCs w:val="16"/>
          <w:lang w:val="lv-LV"/>
        </w:rPr>
        <w:sectPr w:rsidSect="00B05740">
          <w:headerReference w:type="even" r:id="rId126"/>
          <w:headerReference w:type="default" r:id="rId127"/>
          <w:footerReference w:type="even" r:id="rId128"/>
          <w:footerReference w:type="default" r:id="rId129"/>
          <w:headerReference w:type="first" r:id="rId130"/>
          <w:footerReference w:type="first" r:id="rId131"/>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p>
    <w:p w:rsidR="00632259" w:rsidP="008E47ED" w14:paraId="3B59F7BA" w14:textId="77777777">
      <w:pPr>
        <w:keepLines/>
        <w:spacing w:after="0"/>
        <w:jc w:val="both"/>
        <w:rPr>
          <w:rFonts w:ascii="Arial Narrow" w:eastAsia="Arial Narrow" w:hAnsi="Arial Narrow" w:cs="Arial Narrow"/>
          <w:b/>
          <w:bCs/>
          <w:i/>
          <w:iCs/>
          <w:sz w:val="16"/>
          <w:szCs w:val="16"/>
          <w:lang w:val="lv-LV"/>
        </w:rPr>
      </w:pPr>
    </w:p>
    <w:p w:rsidR="00632259" w:rsidRPr="00D1358A" w:rsidP="00632259" w14:paraId="0B91703B" w14:textId="77777777">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2. Nozīmīgu grāmatvedības uzskaites principu kopsavilkums (turpinājums)</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632259" w:rsidP="00632259" w14:paraId="658B499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d) Svarīgākās grāmatvedības uzskaites politikas (turpinājums)</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632259" w:rsidP="008E47ED" w14:paraId="4FB27077" w14:textId="77777777">
      <w:pPr>
        <w:keepLines/>
        <w:spacing w:after="0"/>
        <w:jc w:val="both"/>
        <w:rPr>
          <w:rFonts w:ascii="Arial Narrow" w:eastAsia="Arial Narrow" w:hAnsi="Arial Narrow" w:cs="Arial Narrow"/>
          <w:b/>
          <w:bCs/>
          <w:i/>
          <w:iCs/>
          <w:sz w:val="16"/>
          <w:szCs w:val="16"/>
          <w:lang w:val="lv-LV"/>
        </w:rPr>
      </w:pPr>
    </w:p>
    <w:p w:rsidR="00A5438E" w:rsidRPr="00D1358A" w:rsidP="008E47ED" w14:paraId="7FA6727C" w14:textId="058162A8">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 xml:space="preserve">Ieņēmumi un izdevumi no līgumiem ar klientiem </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2F83022C" w14:textId="5D7E9EB4">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Ieņēmumi no līgumiem ar klientiem SFPS Nr. 15 ietvaros iekļauj pārdotās preces vai sniegtos pakalpojumus, kas radīti Koncerna parastās uzņēmējdarbības rezultātā. Koncerns izmanto šādus kritērijus, lai</w:t>
      </w:r>
      <w:r w:rsidRPr="00D1358A">
        <w:rPr>
          <w:rFonts w:ascii="Arial Narrow" w:eastAsia="Arial Narrow" w:hAnsi="Arial Narrow" w:cs="Arial Narrow"/>
          <w:sz w:val="16"/>
          <w:szCs w:val="16"/>
          <w:lang w:val="lv-LV"/>
        </w:rPr>
        <w:t xml:space="preserve"> identificētu līgumus ar klientiem:</w:t>
      </w:r>
    </w:p>
    <w:p w:rsidR="00A5438E" w:rsidRPr="00D1358A" w:rsidP="008E47ED" w14:paraId="4FF7270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līguma puses ir apstiprinājušas līgumu (rakstiski, mutiski vai saskaņā ar citām ierastām uzņēmējdarbības metodēm) un ir apņēmušās pildīt savas attiecīgās saistības;</w:t>
      </w:r>
    </w:p>
    <w:p w:rsidR="00A5438E" w:rsidRPr="00D1358A" w:rsidP="008E47ED" w14:paraId="57A1179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katras puses tiesības attiecībā uz nododamajām prec</w:t>
      </w:r>
      <w:r w:rsidRPr="00D1358A">
        <w:rPr>
          <w:rFonts w:ascii="Arial Narrow" w:eastAsia="Arial Narrow" w:hAnsi="Arial Narrow" w:cs="Arial Narrow"/>
          <w:sz w:val="16"/>
          <w:szCs w:val="16"/>
          <w:lang w:val="lv-LV"/>
        </w:rPr>
        <w:t>ēm vai pakalpojumiem var identificēt;</w:t>
      </w:r>
    </w:p>
    <w:p w:rsidR="00A5438E" w:rsidRPr="00D1358A" w:rsidP="008E47ED" w14:paraId="5A13438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nododamo preču vai pakalpojumu apmaksas noteikumus var identificēt;</w:t>
      </w:r>
    </w:p>
    <w:p w:rsidR="00A5438E" w:rsidRPr="00D1358A" w:rsidP="008E47ED" w14:paraId="3012E1B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līgumam ir komerciāls raksturs (t.i., paredzams, ka līguma rezultātā mainīsies uzņēmuma nākotnes naudas plūsmu risks, laiks vai summa);</w:t>
      </w:r>
    </w:p>
    <w:p w:rsidR="0006435B" w:rsidRPr="00D1358A" w:rsidP="0006435B" w14:paraId="5F6B2358" w14:textId="1DAB64DA">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ir iespē</w:t>
      </w:r>
      <w:r w:rsidRPr="00D1358A">
        <w:rPr>
          <w:rFonts w:ascii="Arial Narrow" w:eastAsia="Arial Narrow" w:hAnsi="Arial Narrow" w:cs="Arial Narrow"/>
          <w:sz w:val="16"/>
          <w:szCs w:val="16"/>
          <w:lang w:val="lv-LV"/>
        </w:rPr>
        <w:t>jams, ka Koncerns saņems atlīdzību, uz kuru tai būs tiesības apmaiņā pret precēm vai pakalpojumiem, kas tiks nodoti klientam.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70F0D4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77D6DA2"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Izpildes saistības ir līgumos ar Koncerna klientiem ietverti solījumi (vai nu tieši vai netieši ietverti) nodot kl</w:t>
      </w:r>
      <w:r w:rsidRPr="00D1358A">
        <w:rPr>
          <w:rFonts w:ascii="Arial Narrow" w:eastAsia="Arial Narrow" w:hAnsi="Arial Narrow" w:cs="Arial Narrow"/>
          <w:sz w:val="16"/>
          <w:szCs w:val="16"/>
          <w:lang w:val="lv-LV"/>
        </w:rPr>
        <w:t>ientiem atšķirīgas preces vai pakalpojumus. Ja preces vai pakalpojumi ir atšķirīgi, solītās preces vai pakalpojumi ietver atsevišķas izpildes saistības. Solīto preci vai pakalpojumu uzskata par atšķirīgu, ja klients var gūt labumu no pašas preces vai pakal</w:t>
      </w:r>
      <w:r w:rsidRPr="00D1358A">
        <w:rPr>
          <w:rFonts w:ascii="Arial Narrow" w:eastAsia="Arial Narrow" w:hAnsi="Arial Narrow" w:cs="Arial Narrow"/>
          <w:sz w:val="16"/>
          <w:szCs w:val="16"/>
          <w:lang w:val="lv-LV"/>
        </w:rPr>
        <w:t>pojuma atsevišķi vai ar citiem jau pieejamiem resursiem (t.i., kuri ir individuāli atšķirīgi), un prece vai pakalpojums ir atsevišķi identificējams no citiem līgumā ietvertajiem solījumiem (atšķirīgs līguma kontekstā). Abiem šiem kritērijiem ir jābūt izpil</w:t>
      </w:r>
      <w:r w:rsidRPr="00D1358A">
        <w:rPr>
          <w:rFonts w:ascii="Arial Narrow" w:eastAsia="Arial Narrow" w:hAnsi="Arial Narrow" w:cs="Arial Narrow"/>
          <w:sz w:val="16"/>
          <w:szCs w:val="16"/>
          <w:lang w:val="lv-LV"/>
        </w:rPr>
        <w:t>dītiem, lai secinātu, ka prece vai pakalpojums ir atšķirīgs.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2A1D19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P="0006435B" w14:paraId="2FFC3219" w14:textId="61327BF5">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Koncerns ņem vērā, vai līgumā ir ietverti citi solījumi, kas ir atsevišķas izpildes saistības, un kurām ir nepieciešams piešķirt daļu no darījuma cenas. Nosakot iekārtu pārdošanas darījuma cenu, Koncerns ņem vērā mainīgās atlīdzības ietekmi, nozīmīgu finan</w:t>
      </w:r>
      <w:r w:rsidRPr="00D1358A">
        <w:rPr>
          <w:rFonts w:ascii="Arial Narrow" w:eastAsia="Arial Narrow" w:hAnsi="Arial Narrow" w:cs="Arial Narrow"/>
          <w:sz w:val="16"/>
          <w:szCs w:val="16"/>
          <w:lang w:val="lv-LV"/>
        </w:rPr>
        <w:t xml:space="preserve">sēšanas komponentu esamību, bezskaidras naudas atlīdzību un klientam maksājamo atlīdzību (ja tāda ir). </w:t>
      </w:r>
    </w:p>
    <w:p w:rsidR="00BB2074" w:rsidRPr="00D1358A" w:rsidP="00BB2074" w14:paraId="33FC7B9B" w14:textId="3278CDB6">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781EBC7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Ieņēmumus Koncerns atzīst brīdī, kad tiek izpildītas izpildes saistības nodot klientam apsolītās preces vai pakalpojumu. Ieņēmumi tiek atzīti, </w:t>
      </w:r>
      <w:r w:rsidRPr="00D1358A">
        <w:rPr>
          <w:rFonts w:ascii="Arial Narrow" w:eastAsia="Arial Narrow" w:hAnsi="Arial Narrow" w:cs="Arial Narrow"/>
          <w:sz w:val="16"/>
          <w:szCs w:val="16"/>
          <w:lang w:val="lv-LV"/>
        </w:rPr>
        <w:t>kad klients iegūst kontroli pār attiecīgo preci vai pakalpojumu. Ieņēmumi līgumiem ar klientiem tiek atzīti, kad kontrole pār precēm vai pakalpojumu tiek nodota klientam par summu, kas atspoguļo atlīdzību, kuru Koncerns paredz saņemt apmaiņā pret šādām pre</w:t>
      </w:r>
      <w:r w:rsidRPr="00D1358A">
        <w:rPr>
          <w:rFonts w:ascii="Arial Narrow" w:eastAsia="Arial Narrow" w:hAnsi="Arial Narrow" w:cs="Arial Narrow"/>
          <w:sz w:val="16"/>
          <w:szCs w:val="16"/>
          <w:lang w:val="lv-LV"/>
        </w:rPr>
        <w:t>cēm vai pakalpojumiem.</w:t>
      </w:r>
      <w:r w:rsidRPr="00D1358A">
        <w:rPr>
          <w:rFonts w:ascii="Arial Narrow" w:eastAsia="Arial Narrow" w:hAnsi="Arial Narrow" w:cs="Arial Narrow"/>
          <w:sz w:val="16"/>
          <w:szCs w:val="16"/>
          <w:lang w:val="lv-LV"/>
        </w:rPr>
        <w:tab/>
      </w:r>
    </w:p>
    <w:p w:rsidR="00BB2074" w:rsidRPr="00D1358A" w:rsidP="00BB2074" w14:paraId="4E3185F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5CEE038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Ieņēmumi no izpildītām izpildes saistībām tiek atzīti laika gaitā, ja tiek izpildīts viens no zemāk uzskaitītajiem kritērijiem:</w:t>
      </w:r>
    </w:p>
    <w:p w:rsidR="00BB2074" w:rsidRPr="00D1358A" w:rsidP="00BB2074" w14:paraId="3209B92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klients reizē saņem un patērē labumus;</w:t>
      </w:r>
    </w:p>
    <w:p w:rsidR="00BB2074" w:rsidRPr="00D1358A" w:rsidP="00BB2074" w14:paraId="3A1174C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klients kontrolē aktīva izveidi vai uzlabošanu;</w:t>
      </w:r>
    </w:p>
    <w:p w:rsidR="00BB2074" w:rsidRPr="00D1358A" w:rsidP="00BB2074" w14:paraId="4AB994B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Koncerna darbības rezultātā tiek ra</w:t>
      </w:r>
      <w:r w:rsidRPr="00D1358A">
        <w:rPr>
          <w:rFonts w:ascii="Arial Narrow" w:eastAsia="Arial Narrow" w:hAnsi="Arial Narrow" w:cs="Arial Narrow"/>
          <w:sz w:val="16"/>
          <w:szCs w:val="16"/>
          <w:lang w:val="lv-LV"/>
        </w:rPr>
        <w:t>dīts aktīvs un Koncernam ir tiesības saņemt atlīdzību par pabeigto darbību.</w:t>
      </w:r>
    </w:p>
    <w:p w:rsidR="00BB2074" w:rsidRPr="00D1358A" w:rsidP="00BB2074" w14:paraId="4C8B009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0BA20E4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Klientam nododamo preču vai pakalpojumu apmaksas nosacījumi saskaņā ar līguma noteikumiem ir 45 līdz 60 dienu laikā no pakalpojumu sniegšanas vai preču pārdošanas. Darīju</w:t>
      </w:r>
      <w:r w:rsidRPr="00D1358A">
        <w:rPr>
          <w:rFonts w:ascii="Arial Narrow" w:eastAsia="Arial Narrow" w:hAnsi="Arial Narrow" w:cs="Arial Narrow"/>
          <w:sz w:val="16"/>
          <w:szCs w:val="16"/>
          <w:lang w:val="lv-LV"/>
        </w:rPr>
        <w:t>ma cenu parasti nosaka līguma nosacījumi. Rēķini parasti tiek izrakstīti pēc tam, kad preces ir pārdotas vai pakalpojumi ir sniegtas.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630A6B7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21C9C4D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2021. un 2020. gadā Koncerns neslēdza līgumus ar atgriešanas tiesībām, finansēšanas komponentiem, bezsk</w:t>
      </w:r>
      <w:r w:rsidRPr="00D1358A">
        <w:rPr>
          <w:rFonts w:ascii="Arial Narrow" w:eastAsia="Arial Narrow" w:hAnsi="Arial Narrow" w:cs="Arial Narrow"/>
          <w:sz w:val="16"/>
          <w:szCs w:val="16"/>
          <w:lang w:val="lv-LV"/>
        </w:rPr>
        <w:t>aidras naudas atlīdzību vai klientam maksājamo atlīdzību.</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54915BA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Koncerns ir secinājis, ka attiecībā uz ieņēmumiem tas darbojas kā pilnvarotājs, izņemot ieņēmumus no parādu piedziņas darbībām un aģenta pakalpojumiem, jo Koncerns parasti kontrolē preces v</w:t>
      </w:r>
      <w:r w:rsidRPr="00D1358A">
        <w:rPr>
          <w:rFonts w:ascii="Arial Narrow" w:eastAsia="Arial Narrow" w:hAnsi="Arial Narrow" w:cs="Arial Narrow"/>
          <w:sz w:val="16"/>
          <w:szCs w:val="16"/>
          <w:lang w:val="lv-LV"/>
        </w:rPr>
        <w:t xml:space="preserve">ai pakalpojumus pirms tie tiek nodoti klientam.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6776C11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51DA162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Ja kāda cita puse ir iesaistīta preču vai pakalpojumu sniegšanā Koncerna klientiem, Koncerns uzskata, ka tas ir galvenā atbildīgā puse, ja tas iegūst kontroli pār kādu no zemāk uzskaitītaj</w:t>
      </w:r>
      <w:r w:rsidRPr="00D1358A">
        <w:rPr>
          <w:rFonts w:ascii="Arial Narrow" w:eastAsia="Arial Narrow" w:hAnsi="Arial Narrow" w:cs="Arial Narrow"/>
          <w:sz w:val="16"/>
          <w:szCs w:val="16"/>
          <w:lang w:val="lv-LV"/>
        </w:rPr>
        <w:t>iem elementiem:</w:t>
      </w:r>
      <w:r w:rsidRPr="00D1358A">
        <w:rPr>
          <w:rFonts w:ascii="Arial Narrow" w:eastAsia="Arial Narrow" w:hAnsi="Arial Narrow" w:cs="Arial Narrow"/>
          <w:sz w:val="16"/>
          <w:szCs w:val="16"/>
          <w:lang w:val="lv-LV"/>
        </w:rPr>
        <w:tab/>
      </w:r>
    </w:p>
    <w:p w:rsidR="00BB2074" w:rsidRPr="00D1358A" w:rsidP="00BB2074" w14:paraId="3691842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 preci vai citu aktīvu no otras puses, ko tas nodod klientam.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0786C04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b) tiesības uz pakalpojumu, kas jāveic otrai pusei, un kas dod uzņēmumam iespēju vadīt šo pusi sniegt pakalpojumu klientam uzņēmuma vārdā.</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578B38E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c) otras puses preci v</w:t>
      </w:r>
      <w:r w:rsidRPr="00D1358A">
        <w:rPr>
          <w:rFonts w:ascii="Arial Narrow" w:eastAsia="Arial Narrow" w:hAnsi="Arial Narrow" w:cs="Arial Narrow"/>
          <w:sz w:val="16"/>
          <w:szCs w:val="16"/>
          <w:lang w:val="lv-LV"/>
        </w:rPr>
        <w:t xml:space="preserve">ai pakalpojumu, ko tas apvieno ar citām precēm vai pakalpojumiem, sniedzot konkrēto preci vai pakalpojumu klientam.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P="00BB2074" w14:paraId="131329AD" w14:textId="5470DEC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Vadības spriedums attiecībā uz darījumiem, kuros Koncerns darbojas kā pilnvarnieks, ir aprakstīts 3. piezīmē.</w:t>
      </w:r>
    </w:p>
    <w:p w:rsidR="00BB2074" w:rsidRPr="00D1358A" w:rsidP="00BB2074" w14:paraId="10DE1CB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Ieņēmumus Koncerns atzī</w:t>
      </w:r>
      <w:r w:rsidRPr="00D1358A">
        <w:rPr>
          <w:rFonts w:ascii="Arial Narrow" w:eastAsia="Arial Narrow" w:hAnsi="Arial Narrow" w:cs="Arial Narrow"/>
          <w:sz w:val="16"/>
          <w:szCs w:val="16"/>
          <w:lang w:val="lv-LV"/>
        </w:rPr>
        <w:t>st brīdī, kad tiek izpildītas izpildes saistības nodot klientam apsolītās preces vai pakalpojumu. Ieņēmumi tiek atzīti, kad klients iegūst kontroli pār attiecīgo preci vai pakalpojumu. Ieņēmumi līgumiem ar klientiem tiek atzīti, kad kontrole pār precēm vai</w:t>
      </w:r>
      <w:r w:rsidRPr="00D1358A">
        <w:rPr>
          <w:rFonts w:ascii="Arial Narrow" w:eastAsia="Arial Narrow" w:hAnsi="Arial Narrow" w:cs="Arial Narrow"/>
          <w:sz w:val="16"/>
          <w:szCs w:val="16"/>
          <w:lang w:val="lv-LV"/>
        </w:rPr>
        <w:t xml:space="preserve"> pakalpojumu tiek nodota klientam par summu, kas atspoguļo atlīdzību, kuru Koncerns paredz saņemt apmaiņā pret šādām precēm vai pakalpojumiem.</w:t>
      </w:r>
      <w:r w:rsidRPr="00D1358A">
        <w:rPr>
          <w:rFonts w:ascii="Arial Narrow" w:eastAsia="Arial Narrow" w:hAnsi="Arial Narrow" w:cs="Arial Narrow"/>
          <w:sz w:val="16"/>
          <w:szCs w:val="16"/>
          <w:lang w:val="lv-LV"/>
        </w:rPr>
        <w:tab/>
      </w:r>
    </w:p>
    <w:p w:rsidR="00BB2074" w:rsidRPr="00D1358A" w:rsidP="00BB2074" w14:paraId="33FF6CE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RPr="00D1358A" w:rsidP="00BB2074" w14:paraId="690168AD"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Ieņēmumi no izpildītām izpildes saistībām tiek atzīti laika gaitā, ja tiek izpildīts viens no zemāk uz</w:t>
      </w:r>
      <w:r w:rsidRPr="00D1358A">
        <w:rPr>
          <w:rFonts w:ascii="Arial Narrow" w:eastAsia="Arial Narrow" w:hAnsi="Arial Narrow" w:cs="Arial Narrow"/>
          <w:sz w:val="16"/>
          <w:szCs w:val="16"/>
          <w:lang w:val="lv-LV"/>
        </w:rPr>
        <w:t>skaitītajiem kritērijiem:</w:t>
      </w:r>
    </w:p>
    <w:p w:rsidR="00BB2074" w:rsidRPr="00D1358A" w:rsidP="00BB2074" w14:paraId="7619ACB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klients reizē saņem un patērē labumus;</w:t>
      </w:r>
    </w:p>
    <w:p w:rsidR="00BB2074" w:rsidRPr="00D1358A" w:rsidP="00BB2074" w14:paraId="520473C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klients kontrolē aktīva izveidi vai uzlabošanu;</w:t>
      </w:r>
    </w:p>
    <w:p w:rsidR="00BB2074" w:rsidRPr="00D1358A" w:rsidP="00BB2074" w14:paraId="0FD9634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Koncerna darbības rezultātā tiek radīts aktīvs un Koncernam ir tiesības saņemt atlīdzību par pabeigto darbību.</w:t>
      </w:r>
    </w:p>
    <w:p w:rsidR="00BB2074" w:rsidRPr="00D1358A" w:rsidP="00BB2074" w14:paraId="091F4D1E" w14:textId="77777777">
      <w:pPr>
        <w:keepLines/>
        <w:spacing w:after="0"/>
        <w:jc w:val="both"/>
        <w:rPr>
          <w:rFonts w:ascii="Arial Narrow" w:eastAsia="Arial Narrow" w:hAnsi="Arial Narrow" w:cs="Arial Narrow"/>
          <w:sz w:val="16"/>
          <w:szCs w:val="16"/>
          <w:lang w:val="lv-LV"/>
        </w:rPr>
      </w:pPr>
    </w:p>
    <w:p w:rsidR="00BB2074" w:rsidP="0006435B" w14:paraId="3486D740" w14:textId="77777777">
      <w:pPr>
        <w:keepLines/>
        <w:spacing w:after="0"/>
        <w:jc w:val="both"/>
        <w:rPr>
          <w:rFonts w:ascii="Arial Narrow" w:eastAsia="Arial Narrow" w:hAnsi="Arial Narrow" w:cs="Arial Narrow"/>
          <w:sz w:val="16"/>
          <w:szCs w:val="16"/>
          <w:lang w:val="lv-LV"/>
        </w:rPr>
      </w:pPr>
    </w:p>
    <w:p w:rsidR="00BB2074" w:rsidP="0006435B" w14:paraId="0E33FD45" w14:textId="77777777">
      <w:pPr>
        <w:keepLines/>
        <w:spacing w:after="0"/>
        <w:jc w:val="both"/>
        <w:rPr>
          <w:rFonts w:ascii="Arial Narrow" w:eastAsia="Arial Narrow" w:hAnsi="Arial Narrow" w:cs="Arial Narrow"/>
          <w:sz w:val="16"/>
          <w:szCs w:val="16"/>
          <w:lang w:val="lv-LV"/>
        </w:rPr>
      </w:pPr>
    </w:p>
    <w:p w:rsidR="00BB2074" w:rsidP="0006435B" w14:paraId="29F8A8C6" w14:textId="77777777">
      <w:pPr>
        <w:keepLines/>
        <w:spacing w:after="0"/>
        <w:jc w:val="both"/>
        <w:rPr>
          <w:rFonts w:ascii="Arial Narrow" w:eastAsia="Arial Narrow" w:hAnsi="Arial Narrow" w:cs="Arial Narrow"/>
          <w:sz w:val="16"/>
          <w:szCs w:val="16"/>
          <w:lang w:val="lv-LV"/>
        </w:rPr>
      </w:pPr>
    </w:p>
    <w:p w:rsidR="00A5438E" w:rsidRPr="00D1358A" w:rsidP="0006435B" w14:paraId="231A0671" w14:textId="7B87F616">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06435B" w:rsidRPr="00D1358A" w:rsidP="008E47ED" w14:paraId="568FB5EE" w14:textId="77777777">
      <w:pPr>
        <w:keepLines/>
        <w:spacing w:after="0"/>
        <w:jc w:val="both"/>
        <w:rPr>
          <w:rFonts w:ascii="Arial Narrow" w:eastAsia="Arial Narrow" w:hAnsi="Arial Narrow" w:cs="Arial Narrow"/>
          <w:sz w:val="16"/>
          <w:szCs w:val="16"/>
          <w:lang w:val="lv-LV"/>
        </w:rPr>
        <w:sectPr w:rsidSect="00B05740">
          <w:headerReference w:type="even" r:id="rId132"/>
          <w:headerReference w:type="default" r:id="rId133"/>
          <w:footerReference w:type="even" r:id="rId134"/>
          <w:footerReference w:type="default" r:id="rId135"/>
          <w:headerReference w:type="first" r:id="rId136"/>
          <w:footerReference w:type="first" r:id="rId137"/>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p>
    <w:p w:rsidR="00A5438E" w:rsidRPr="00D1358A" w:rsidP="008E47ED" w14:paraId="3875EC8D" w14:textId="29DB210D">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2. Nozīmīgu grāmatvedības uzskaites principu kopsavilkums (turpinājums)</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A5438E" w:rsidRPr="00D1358A" w:rsidP="008E47ED" w14:paraId="1F00AC59" w14:textId="0E7E39E6">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d</w:t>
      </w:r>
      <w:r w:rsidRPr="00D1358A" w:rsidR="006E614D">
        <w:rPr>
          <w:rFonts w:ascii="Arial Narrow" w:eastAsia="Arial Narrow" w:hAnsi="Arial Narrow" w:cs="Arial Narrow"/>
          <w:b/>
          <w:bCs/>
          <w:i/>
          <w:iCs/>
          <w:sz w:val="16"/>
          <w:szCs w:val="16"/>
          <w:lang w:val="lv-LV"/>
        </w:rPr>
        <w:t>) Svarīgākās grāmatvedības uzskaites politikas (turpinājums)</w:t>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p>
    <w:p w:rsidR="00A5438E" w:rsidRPr="00D1358A" w:rsidP="008E47ED" w14:paraId="77E0A4FA"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0025F213" w14:textId="1B7FE49B">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Ieņēmumi un izdevumi no līgumiem ar klientiem (turpinājums)</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BAF31B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B144E04" w14:textId="1471BCB1">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Klientam nododamo preču vai pakalpojumu apmaksas nosacījumi saskaņā ar līguma noteikumiem ir 45 līdz 60 dienu laikā no pakalpojumu sniegšanas vai preču pārdošanas. Darījuma cenu parasti nosaka līguma nosacījumi. Rēķini parasti tiek izrakstīti pēc tam, kad</w:t>
      </w:r>
      <w:r w:rsidRPr="00D1358A">
        <w:rPr>
          <w:rFonts w:ascii="Arial Narrow" w:eastAsia="Arial Narrow" w:hAnsi="Arial Narrow" w:cs="Arial Narrow"/>
          <w:sz w:val="16"/>
          <w:szCs w:val="16"/>
          <w:lang w:val="lv-LV"/>
        </w:rPr>
        <w:t xml:space="preserve"> preces ir pārdotas vai pakalpojumi ir sniegtas.</w:t>
      </w:r>
    </w:p>
    <w:p w:rsidR="00A5438E" w:rsidRPr="00D1358A" w:rsidP="008E47ED" w14:paraId="0501E34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4798731" w14:textId="363BA439">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202</w:t>
      </w:r>
      <w:r w:rsidRPr="00D1358A" w:rsidR="0071423F">
        <w:rPr>
          <w:rFonts w:ascii="Arial Narrow" w:eastAsia="Arial Narrow" w:hAnsi="Arial Narrow" w:cs="Arial Narrow"/>
          <w:sz w:val="16"/>
          <w:szCs w:val="16"/>
          <w:lang w:val="lv-LV"/>
        </w:rPr>
        <w:t>1</w:t>
      </w:r>
      <w:r w:rsidRPr="00D1358A">
        <w:rPr>
          <w:rFonts w:ascii="Arial Narrow" w:eastAsia="Arial Narrow" w:hAnsi="Arial Narrow" w:cs="Arial Narrow"/>
          <w:sz w:val="16"/>
          <w:szCs w:val="16"/>
          <w:lang w:val="lv-LV"/>
        </w:rPr>
        <w:t>. un 20</w:t>
      </w:r>
      <w:r w:rsidRPr="00D1358A" w:rsidR="0071423F">
        <w:rPr>
          <w:rFonts w:ascii="Arial Narrow" w:eastAsia="Arial Narrow" w:hAnsi="Arial Narrow" w:cs="Arial Narrow"/>
          <w:sz w:val="16"/>
          <w:szCs w:val="16"/>
          <w:lang w:val="lv-LV"/>
        </w:rPr>
        <w:t>20</w:t>
      </w:r>
      <w:r w:rsidRPr="00D1358A">
        <w:rPr>
          <w:rFonts w:ascii="Arial Narrow" w:eastAsia="Arial Narrow" w:hAnsi="Arial Narrow" w:cs="Arial Narrow"/>
          <w:sz w:val="16"/>
          <w:szCs w:val="16"/>
          <w:lang w:val="lv-LV"/>
        </w:rPr>
        <w:t>. gadā Koncerns neslēdza līgumus ar atgriešanas tiesībām, finansēšanas komponentiem, bezskaidras naudas atlīdzību vai klientam maksājamo atlīdzību.</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5443F90" w14:textId="59703273">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Koncerns ir secinājis, ka a</w:t>
      </w:r>
      <w:r w:rsidRPr="00D1358A">
        <w:rPr>
          <w:rFonts w:ascii="Arial Narrow" w:eastAsia="Arial Narrow" w:hAnsi="Arial Narrow" w:cs="Arial Narrow"/>
          <w:sz w:val="16"/>
          <w:szCs w:val="16"/>
          <w:lang w:val="lv-LV"/>
        </w:rPr>
        <w:t xml:space="preserve">ttiecībā uz ieņēmumiem tas darbojas kā pilnvarotājs, izņemot ieņēmumus no parādu piedziņas darbībām un aģenta pakalpojumiem, jo Koncerns parasti kontrolē preces vai pakalpojumus pirms tie tiek nodoti klientam.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6474C3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8435F60" w14:textId="5E0A9649">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Ja kāda cita puse ir iesaistīta preču vai pakalpojumu sniegšanā Koncerna klientiem, Koncerns uzskata, ka tas ir galvenā atbildīgā puse, ja tas iegūst kontroli pār kādu no zemāk uzskaitītajiem elementiem:</w:t>
      </w:r>
      <w:r w:rsidRPr="00D1358A">
        <w:rPr>
          <w:rFonts w:ascii="Arial Narrow" w:eastAsia="Arial Narrow" w:hAnsi="Arial Narrow" w:cs="Arial Narrow"/>
          <w:sz w:val="16"/>
          <w:szCs w:val="16"/>
          <w:lang w:val="lv-LV"/>
        </w:rPr>
        <w:tab/>
      </w:r>
    </w:p>
    <w:p w:rsidR="00A5438E" w:rsidRPr="00D1358A" w:rsidP="008E47ED" w14:paraId="5A709BF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 preci vai citu aktīvu no otras puses, ko tas nod</w:t>
      </w:r>
      <w:r w:rsidRPr="00D1358A">
        <w:rPr>
          <w:rFonts w:ascii="Arial Narrow" w:eastAsia="Arial Narrow" w:hAnsi="Arial Narrow" w:cs="Arial Narrow"/>
          <w:sz w:val="16"/>
          <w:szCs w:val="16"/>
          <w:lang w:val="lv-LV"/>
        </w:rPr>
        <w:t>od klientam.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D1CBA2F" w14:textId="57346295">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b) tiesības uz pakalpojumu, kas jāveic otrai pusei, un kas dod uzņēmumam iespēju vadīt šo pusi sniegt pakalpojumu klientam uzņēmuma vārdā.</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21F7A49" w14:textId="0FB6D5D5">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c) otras puses preci vai pakalpojumu, ko tas apvieno ar citām precēm vai pakalpojumiem, sn</w:t>
      </w:r>
      <w:r w:rsidRPr="00D1358A">
        <w:rPr>
          <w:rFonts w:ascii="Arial Narrow" w:eastAsia="Arial Narrow" w:hAnsi="Arial Narrow" w:cs="Arial Narrow"/>
          <w:sz w:val="16"/>
          <w:szCs w:val="16"/>
          <w:lang w:val="lv-LV"/>
        </w:rPr>
        <w:t xml:space="preserve">iedzot konkrēto preci vai pakalpojumu klientam.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CA31ADC" w14:textId="0AC17D08">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Vadības spriedums attiecībā uz darījumiem, kuros Koncerns darbojas kā pilnvarnieks, ir aprakstīts 3. piezīmē.</w:t>
      </w:r>
    </w:p>
    <w:p w:rsidR="00A5438E" w:rsidRPr="00D1358A" w:rsidP="008E47ED" w14:paraId="284A49A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4F9774C"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Komisijas naudas ienākumi un izdevumi (7. piezīme)</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31626558"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i/>
          <w:iCs/>
          <w:sz w:val="16"/>
          <w:szCs w:val="16"/>
          <w:lang w:val="lv-LV"/>
        </w:rPr>
        <w:t>Ienākumi no paradu ie</w:t>
      </w:r>
      <w:r w:rsidRPr="00D1358A">
        <w:rPr>
          <w:rFonts w:ascii="Arial Narrow" w:eastAsia="Arial Narrow" w:hAnsi="Arial Narrow" w:cs="Arial Narrow"/>
          <w:i/>
          <w:iCs/>
          <w:sz w:val="16"/>
          <w:szCs w:val="16"/>
          <w:lang w:val="lv-LV"/>
        </w:rPr>
        <w:t>kasēšanas un nopelnītās soda naudas (konkrētā brīdī)</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6D6A66E" w14:textId="404C3A5F">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Ienākumus no parādu piedziņas un soda naudām atzīst Koncerna peļņas vai zaudējumu un pārējo apvienoto ienākumu pārskatā brīdī, kad pastāv liela varbūtība, ka tiks veikts norēķins par šādiem paka</w:t>
      </w:r>
      <w:r w:rsidRPr="00D1358A">
        <w:rPr>
          <w:rFonts w:ascii="Arial Narrow" w:eastAsia="Arial Narrow" w:hAnsi="Arial Narrow" w:cs="Arial Narrow"/>
          <w:sz w:val="16"/>
          <w:szCs w:val="16"/>
          <w:lang w:val="lv-LV"/>
        </w:rPr>
        <w:t xml:space="preserve">lpojumiem, tāpēc ienākumus atzīst vienīgi tad, kad faktiski tiek saņemts maksājums par sniegtajiem pakalpojumiem. </w:t>
      </w:r>
    </w:p>
    <w:p w:rsidR="00A5438E" w:rsidRPr="00D1358A" w:rsidP="008E47ED" w14:paraId="13BB8C0D"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5E6CA6" w:rsidRPr="00D1358A" w:rsidP="008E47ED" w14:paraId="73F0E27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Ienākumi no soda naudām rodas, kad klienti pārkāpj no finanšu nomas izrietošo prasību un patēriņa kredītu līgumu </w:t>
      </w:r>
      <w:r w:rsidRPr="00D1358A">
        <w:rPr>
          <w:rFonts w:ascii="Arial Narrow" w:eastAsia="Arial Narrow" w:hAnsi="Arial Narrow" w:cs="Arial Narrow"/>
          <w:sz w:val="16"/>
          <w:szCs w:val="16"/>
          <w:lang w:val="lv-LV"/>
        </w:rPr>
        <w:t>nosacījumus, piemēram, kavējot maksājumu datumu. Šādās situācijās Koncernam ir tiesības pieprasīt klientiem atmaksu saskaņā ar līguma noteikumiem. Koncerns atzīst ienākumus no samaksātajām soda naudām naudas saņemšanas brīdī, jo norēķinu iespējamība un lai</w:t>
      </w:r>
      <w:r w:rsidRPr="00D1358A">
        <w:rPr>
          <w:rFonts w:ascii="Arial Narrow" w:eastAsia="Arial Narrow" w:hAnsi="Arial Narrow" w:cs="Arial Narrow"/>
          <w:sz w:val="16"/>
          <w:szCs w:val="16"/>
          <w:lang w:val="lv-LV"/>
        </w:rPr>
        <w:t>ks ir neskaidrs. Gadījumā, ja klienti nesamaksā soda naudu, Koncerns ir tiesīgs īstenot ķīlas atsavināšanu.</w:t>
      </w:r>
    </w:p>
    <w:p w:rsidR="00A5438E" w:rsidRPr="00D1358A" w:rsidP="008E47ED" w14:paraId="59474653" w14:textId="0C13F028">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5E6CA6" w:rsidP="008E47ED" w14:paraId="5961840E" w14:textId="024B3196">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Ieņēmumi no parādu piedziņas darbībām parasti rodas, kad klienti kavē veicamos maksājumus. Kā iznomātājs Koncerns ir tiesīgs uz nomas līgu</w:t>
      </w:r>
      <w:r w:rsidRPr="00D1358A">
        <w:rPr>
          <w:rFonts w:ascii="Arial Narrow" w:eastAsia="Arial Narrow" w:hAnsi="Arial Narrow" w:cs="Arial Narrow"/>
          <w:sz w:val="16"/>
          <w:szCs w:val="16"/>
          <w:lang w:val="lv-LV"/>
        </w:rPr>
        <w:t>mos ar klientiem iekļautajām aizsargājošajām tiesībām, kas nosaka klientiem aizsargāt un uzturēt transportlīdzekļa stāvokli, jo tas kalpo kā nomas nodrošinājums. Koncerna ieņēmumi ietver Koncerna iekšējo un ārējo izmaksu kompensāciju saistībā ar parādu pār</w:t>
      </w:r>
      <w:r w:rsidRPr="00D1358A">
        <w:rPr>
          <w:rFonts w:ascii="Arial Narrow" w:eastAsia="Arial Narrow" w:hAnsi="Arial Narrow" w:cs="Arial Narrow"/>
          <w:sz w:val="16"/>
          <w:szCs w:val="16"/>
          <w:lang w:val="lv-LV"/>
        </w:rPr>
        <w:t>valdību, juridiskās izmaksas, kā arī transportlīdzekļa atsavināšanu nomas līguma izbeigšanas gadījumā, un tie tiek iekasēti no klientiem saskaņā ar līguma noteikumiem. Parādu piedziņas ienākumi tiek atzīta neto (aģentu) līmenī, jo šīs summas tiek iekasētas</w:t>
      </w:r>
      <w:r w:rsidRPr="00D1358A">
        <w:rPr>
          <w:rFonts w:ascii="Arial Narrow" w:eastAsia="Arial Narrow" w:hAnsi="Arial Narrow" w:cs="Arial Narrow"/>
          <w:sz w:val="16"/>
          <w:szCs w:val="16"/>
          <w:lang w:val="lv-LV"/>
        </w:rPr>
        <w:t xml:space="preserve"> no klienta saskaņā ar līguma noteikumiem, un Koncerns nekontrolē šos pakalpojumus, pirms to nodošanas klientam. Izpildes saistības tiek apmierinātas brīdī, kad attiecīgais pakalpojums tiek sniegts.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632259" w:rsidRPr="00D1358A" w:rsidP="008E47ED" w14:paraId="19B9FB7F" w14:textId="77777777">
      <w:pPr>
        <w:keepLines/>
        <w:spacing w:after="0"/>
        <w:jc w:val="both"/>
        <w:rPr>
          <w:rFonts w:ascii="Arial Narrow" w:eastAsia="Arial Narrow" w:hAnsi="Arial Narrow" w:cs="Arial Narrow"/>
          <w:sz w:val="16"/>
          <w:szCs w:val="16"/>
          <w:lang w:val="lv-LV"/>
        </w:rPr>
      </w:pPr>
    </w:p>
    <w:p w:rsidR="00A5438E" w:rsidRPr="00D1358A" w:rsidP="008E47ED" w14:paraId="20B1F568" w14:textId="4BF38C7D">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Ieņēmumi no automašīnu pārdošanas (11. piezīme)</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6620695A"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Automašīnu pārdošana (konkrētā brīdī)</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047681FB" w14:textId="0EF1ECDE">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Koncerns gūst daļu no saviem ieņēmumiem no lietotu transportlīdzekļu pārdošanas, kas ir nopirkti no trešajām pusēm vai atsavināti no peļņu nenesošajiem līzinga klientiem. Koncerns aprēķina </w:t>
      </w:r>
      <w:r w:rsidRPr="00D1358A">
        <w:rPr>
          <w:rFonts w:ascii="Arial Narrow" w:eastAsia="Arial Narrow" w:hAnsi="Arial Narrow" w:cs="Arial Narrow"/>
          <w:sz w:val="16"/>
          <w:szCs w:val="16"/>
          <w:lang w:val="lv-LV"/>
        </w:rPr>
        <w:t>minimālo pārdošanas cenu, pamatojoties uz sākotnējo cenu vai vērtību pēc atsavināšanas, kā arī radušās papildu izmaksas (piemēram, remonts) un pievienoto maržu, lai gūtu peļņu no darījuma. Izpildes saistības ir izpildītas, ja automašīna ir reģistrēta uz kl</w:t>
      </w:r>
      <w:r w:rsidRPr="00D1358A">
        <w:rPr>
          <w:rFonts w:ascii="Arial Narrow" w:eastAsia="Arial Narrow" w:hAnsi="Arial Narrow" w:cs="Arial Narrow"/>
          <w:sz w:val="16"/>
          <w:szCs w:val="16"/>
          <w:lang w:val="lv-LV"/>
        </w:rPr>
        <w:t>ienta vārda.</w:t>
      </w:r>
      <w:r w:rsidRPr="00D1358A">
        <w:rPr>
          <w:rFonts w:ascii="Arial Narrow" w:eastAsia="Arial Narrow" w:hAnsi="Arial Narrow" w:cs="Arial Narrow"/>
          <w:sz w:val="16"/>
          <w:szCs w:val="16"/>
          <w:lang w:val="lv-LV"/>
        </w:rPr>
        <w:tab/>
      </w:r>
    </w:p>
    <w:p w:rsidR="00A5438E" w:rsidRPr="00D1358A" w:rsidP="008E47ED" w14:paraId="568E9EB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86BA248"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Pārējie saimnieciskās darbības ieņēmumi (14. piezīme)</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8E47ED" w14:paraId="143D68C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i/>
          <w:iCs/>
          <w:sz w:val="16"/>
          <w:szCs w:val="16"/>
          <w:lang w:val="lv-LV"/>
        </w:rPr>
        <w:t>Ieņēmumi no klientu piesaistes (konkrētā brīdī)</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12E9F5E9" w14:textId="21C30638">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Komisijas naudas ieņēmumi par klientu piesaisti: Koncerns sniedz klientu piesaistīšanas pakalpojumus savai radni</w:t>
      </w:r>
      <w:r w:rsidRPr="00D1358A">
        <w:rPr>
          <w:rFonts w:ascii="Arial Narrow" w:eastAsia="Arial Narrow" w:hAnsi="Arial Narrow" w:cs="Arial Narrow"/>
          <w:sz w:val="16"/>
          <w:szCs w:val="16"/>
          <w:lang w:val="lv-LV"/>
        </w:rPr>
        <w:t>ecīgajai sabiedrībai. Koncerns neatkarīgi slēdz nomas līgumus radniecīgās sabiedrības vārdā. Papildus tam Koncerns konsultē un sazinās ar klientiem, nodrošina, ka klientu sūdzības un pieteikumi tiek saņemti un izskatīti, apstiprina klientu identitāti un kl</w:t>
      </w:r>
      <w:r w:rsidRPr="00D1358A">
        <w:rPr>
          <w:rFonts w:ascii="Arial Narrow" w:eastAsia="Arial Narrow" w:hAnsi="Arial Narrow" w:cs="Arial Narrow"/>
          <w:sz w:val="16"/>
          <w:szCs w:val="16"/>
          <w:lang w:val="lv-LV"/>
        </w:rPr>
        <w:t>ientu sniegtās informācijas patiesumu, pārbaudot publiskus reģistrus, izskaidro līgumos ietvertos pienākumus un tiesiskās sekas, izskata pieteikumus un slēdz līgumus radniecīgās sabiedrības vārdā. Pakalpojums tiek sniegts, kad radniecīgās sabiedrības klien</w:t>
      </w:r>
      <w:r w:rsidRPr="00D1358A">
        <w:rPr>
          <w:rFonts w:ascii="Arial Narrow" w:eastAsia="Arial Narrow" w:hAnsi="Arial Narrow" w:cs="Arial Narrow"/>
          <w:sz w:val="16"/>
          <w:szCs w:val="16"/>
          <w:lang w:val="lv-LV"/>
        </w:rPr>
        <w:t>ts ir parakstījis nomas līgumu un šādus ienākumus atzīst konkrētā brīdī.</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BB2074" w:rsidP="008E47ED" w14:paraId="513C782D" w14:textId="77777777">
      <w:pPr>
        <w:keepLines/>
        <w:spacing w:after="0"/>
        <w:jc w:val="both"/>
        <w:rPr>
          <w:rFonts w:ascii="Arial Narrow" w:eastAsia="Arial Narrow" w:hAnsi="Arial Narrow" w:cs="Arial Narrow"/>
          <w:i/>
          <w:iCs/>
          <w:sz w:val="16"/>
          <w:szCs w:val="16"/>
          <w:lang w:val="lv-LV"/>
        </w:rPr>
      </w:pPr>
    </w:p>
    <w:p w:rsidR="00A5438E" w:rsidRPr="00D1358A" w:rsidP="008E47ED" w14:paraId="35BE1A70" w14:textId="544AB632">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Klientu piesaistes ieņēmumi ar mainīgo atlīdzību (konkrētā brīdī)</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A5438E" w:rsidRPr="00D1358A" w:rsidP="008E47ED" w14:paraId="59090B1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2019. gada 26. septembrī Koncerns noslēdza līgumu ar AS “Primero Finance” par klientu piesaistes pa</w:t>
      </w:r>
      <w:r w:rsidRPr="00D1358A">
        <w:rPr>
          <w:rFonts w:ascii="Arial Narrow" w:eastAsia="Arial Narrow" w:hAnsi="Arial Narrow" w:cs="Arial Narrow"/>
          <w:sz w:val="16"/>
          <w:szCs w:val="16"/>
          <w:lang w:val="lv-LV"/>
        </w:rPr>
        <w:t>kalpojumu sniegšanu, kas ietver mainīgo atlīdzības komponentu.</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AFB2102"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Maksa tiek iekasēta par visiem ar klientiem noslēgtiem līgumiem. Maksa sastāv no diviem komponentiem – fiksētā un mainīgā. Fiksētā maksa ir noteikta kā procenti no kopējās aizdevuma su</w:t>
      </w:r>
      <w:r w:rsidRPr="00D1358A">
        <w:rPr>
          <w:rFonts w:ascii="Arial Narrow" w:eastAsia="Arial Narrow" w:hAnsi="Arial Narrow" w:cs="Arial Narrow"/>
          <w:sz w:val="16"/>
          <w:szCs w:val="16"/>
          <w:lang w:val="lv-LV"/>
        </w:rPr>
        <w:t>mmas, un rēķini par to tiek izrakstīti katru mēnesi, balstoties uz iepriekšējā mēnesī noslēgto līgumu sarakstu. Mainīgā maksa ir papildu maksa, ko nosaka kā procentuālu daļu, kas atkarīga no konkrēta gada procentu likmju sliekšņa (APR) katram atsevišķam no</w:t>
      </w:r>
      <w:r w:rsidRPr="00D1358A">
        <w:rPr>
          <w:rFonts w:ascii="Arial Narrow" w:eastAsia="Arial Narrow" w:hAnsi="Arial Narrow" w:cs="Arial Narrow"/>
          <w:sz w:val="16"/>
          <w:szCs w:val="16"/>
          <w:lang w:val="lv-LV"/>
        </w:rPr>
        <w:t>slēgtam līgumam.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B19A0B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632259" w:rsidP="008E47ED" w14:paraId="3AF76523" w14:textId="77777777">
      <w:pPr>
        <w:keepLines/>
        <w:spacing w:after="0"/>
        <w:jc w:val="both"/>
        <w:rPr>
          <w:rFonts w:ascii="Arial Narrow" w:eastAsia="Arial Narrow" w:hAnsi="Arial Narrow" w:cs="Arial Narrow"/>
          <w:sz w:val="16"/>
          <w:szCs w:val="16"/>
          <w:lang w:val="lv-LV"/>
        </w:rPr>
        <w:sectPr w:rsidSect="00B05740">
          <w:headerReference w:type="even" r:id="rId138"/>
          <w:headerReference w:type="default" r:id="rId139"/>
          <w:footerReference w:type="even" r:id="rId140"/>
          <w:footerReference w:type="default" r:id="rId141"/>
          <w:headerReference w:type="first" r:id="rId142"/>
          <w:footerReference w:type="first" r:id="rId143"/>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r w:rsidRPr="00D1358A">
        <w:rPr>
          <w:rFonts w:ascii="Arial Narrow" w:eastAsia="Arial Narrow" w:hAnsi="Arial Narrow" w:cs="Arial Narrow"/>
          <w:sz w:val="16"/>
          <w:szCs w:val="16"/>
          <w:lang w:val="lv-LV"/>
        </w:rPr>
        <w:t xml:space="preserve">Gan fiksēto, gan mainīgo klientu piesaistes maksas daļu aprēķina un iekļauj rēķinos katru mēnesi. Ieņēmumus no maksas fiksētās daļas atzīst brīdī, kad ir izpildītas attiecīgās izpildes saistības un nav </w:t>
      </w:r>
      <w:r w:rsidRPr="00D1358A">
        <w:rPr>
          <w:rFonts w:ascii="Arial Narrow" w:eastAsia="Arial Narrow" w:hAnsi="Arial Narrow" w:cs="Arial Narrow"/>
          <w:sz w:val="16"/>
          <w:szCs w:val="16"/>
          <w:lang w:val="lv-LV"/>
        </w:rPr>
        <w:t>jāizdara būtiski spriedumi, lai noteiktu darījuma cenu vai to, ka ir izpildītas izpildes saistības.</w:t>
      </w:r>
    </w:p>
    <w:p w:rsidR="00A5438E" w:rsidRPr="00D1358A" w:rsidP="008E47ED" w14:paraId="3136616C" w14:textId="0D13F577">
      <w:pPr>
        <w:keepLines/>
        <w:spacing w:after="0"/>
        <w:jc w:val="both"/>
        <w:rPr>
          <w:rFonts w:ascii="Arial Narrow" w:eastAsia="Arial Narrow" w:hAnsi="Arial Narrow" w:cs="Arial Narrow"/>
          <w:sz w:val="16"/>
          <w:szCs w:val="16"/>
          <w:lang w:val="lv-LV"/>
        </w:rPr>
      </w:pPr>
    </w:p>
    <w:p w:rsidR="00632259" w:rsidRPr="00D1358A" w:rsidP="00632259" w14:paraId="31DC3329" w14:textId="06851806">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2. Nozīmīgu grāmatvedības uzskaites principu kopsavilkums (turpinājums)</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A5438E" w:rsidRPr="00D1358A" w:rsidP="00632259" w14:paraId="65CD692B" w14:textId="67A3807D">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d) Svarīgākās grāmatvedības uzskaites politikas (turpinājums)</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632259" w:rsidP="008E47ED" w14:paraId="4701F9E2" w14:textId="77777777">
      <w:pPr>
        <w:keepLines/>
        <w:spacing w:after="0"/>
        <w:jc w:val="both"/>
        <w:rPr>
          <w:rFonts w:ascii="Arial Narrow" w:eastAsia="Arial Narrow" w:hAnsi="Arial Narrow" w:cs="Arial Narrow"/>
          <w:sz w:val="16"/>
          <w:szCs w:val="16"/>
          <w:lang w:val="lv-LV"/>
        </w:rPr>
      </w:pPr>
    </w:p>
    <w:p w:rsidR="00A5438E" w:rsidRPr="00D1358A" w:rsidP="008E47ED" w14:paraId="14487ACE" w14:textId="4860DCC3">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Papildu maksa par klientu piesaisti ir uzskatāma par mainīgo atlīdzību, jo tās pamatā ir katra noslēgtā līguma gada procentu likme.</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5E6CA6" w14:paraId="65BB0C6F" w14:textId="51BC8AAE">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Lai arī papildu maksu atzīst brīdī, kad tiek noslēgts līgums starp klientu un AS “Primero Finance”, ieņēmumus</w:t>
      </w:r>
      <w:r w:rsidRPr="00D1358A">
        <w:rPr>
          <w:rFonts w:ascii="Arial Narrow" w:eastAsia="Arial Narrow" w:hAnsi="Arial Narrow" w:cs="Arial Narrow"/>
          <w:sz w:val="16"/>
          <w:szCs w:val="16"/>
          <w:lang w:val="lv-LV"/>
        </w:rPr>
        <w:t xml:space="preserve"> no mainīgas maksas Koncerns atzīst tikai tādā apmērā, cik ir ticams, ka tie tiks gūti un ka brīdī, kad ar mainīgo atlīdzību saistītā nenoteiktība tiks atrisināta, atzīto kumulatīvo ieņēmumu summa netiks būtiski samazināta. Rēķini par papildu maksu tiek iz</w:t>
      </w:r>
      <w:r w:rsidRPr="00D1358A">
        <w:rPr>
          <w:rFonts w:ascii="Arial Narrow" w:eastAsia="Arial Narrow" w:hAnsi="Arial Narrow" w:cs="Arial Narrow"/>
          <w:sz w:val="16"/>
          <w:szCs w:val="16"/>
          <w:lang w:val="lv-LV"/>
        </w:rPr>
        <w:t>sniegti līdz brīdim, kad līgums tiek pārtraukts neatkarīgi no pārtraukšanas iemesla – vai nu atmaksa pirms noteiktā termiņa vai saistību neizpilde. Maksu par klientu piesaisti, kas nav ietverta rēķinos, nevar pieprasīt no AS “Primero Finance”.</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3D8D9E3"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12BB1F5" w14:textId="618066C5">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Ja kredītiem iestājas saistību neizpilde, puses vienojas novērtēt tās ietekmē radušos zaudējumus. Gadījumos, kad visu nenokārtotā parāda summu nav bijis iespējams segt ķīlas realizācijas rezultātā, Koncerns atgriež daļu (proporcionāli nesegtā parāda apmē</w:t>
      </w:r>
      <w:r w:rsidRPr="00D1358A">
        <w:rPr>
          <w:rFonts w:ascii="Arial Narrow" w:eastAsia="Arial Narrow" w:hAnsi="Arial Narrow" w:cs="Arial Narrow"/>
          <w:sz w:val="16"/>
          <w:szCs w:val="16"/>
          <w:lang w:val="lv-LV"/>
        </w:rPr>
        <w:t>rām) no papildu maksas, kas ir tikusi ietverta rēķinā AS “Primero Finance”.</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456CB5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0C37915" w14:textId="78811673">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No līguma parakstīšanas datuma līdz 202</w:t>
      </w:r>
      <w:r w:rsidRPr="00D1358A" w:rsidR="0071423F">
        <w:rPr>
          <w:rFonts w:ascii="Arial Narrow" w:eastAsia="Arial Narrow" w:hAnsi="Arial Narrow" w:cs="Arial Narrow"/>
          <w:sz w:val="16"/>
          <w:szCs w:val="16"/>
          <w:lang w:val="lv-LV"/>
        </w:rPr>
        <w:t>1</w:t>
      </w:r>
      <w:r w:rsidRPr="00D1358A">
        <w:rPr>
          <w:rFonts w:ascii="Arial Narrow" w:eastAsia="Arial Narrow" w:hAnsi="Arial Narrow" w:cs="Arial Narrow"/>
          <w:sz w:val="16"/>
          <w:szCs w:val="16"/>
          <w:lang w:val="lv-LV"/>
        </w:rPr>
        <w:t xml:space="preserve">. gada 31. decembrim ir bijuši </w:t>
      </w:r>
      <w:r w:rsidRPr="00D1358A" w:rsidR="0071423F">
        <w:rPr>
          <w:rFonts w:ascii="Arial Narrow" w:eastAsia="Arial Narrow" w:hAnsi="Arial Narrow" w:cs="Arial Narrow"/>
          <w:sz w:val="16"/>
          <w:szCs w:val="16"/>
          <w:lang w:val="lv-LV"/>
        </w:rPr>
        <w:t>98</w:t>
      </w:r>
      <w:r w:rsidRPr="00D1358A">
        <w:rPr>
          <w:rFonts w:ascii="Arial Narrow" w:eastAsia="Arial Narrow" w:hAnsi="Arial Narrow" w:cs="Arial Narrow"/>
          <w:sz w:val="16"/>
          <w:szCs w:val="16"/>
          <w:lang w:val="lv-LV"/>
        </w:rPr>
        <w:t xml:space="preserve"> saistību neizpildes gadījumi, un papildu maksa ir tikusi atgriezta tikai 30 no tiem (</w:t>
      </w:r>
      <w:r w:rsidRPr="00D1358A">
        <w:rPr>
          <w:rFonts w:ascii="Arial Narrow" w:eastAsia="Arial Narrow" w:hAnsi="Arial Narrow" w:cs="Arial Narrow"/>
          <w:sz w:val="16"/>
          <w:szCs w:val="16"/>
          <w:lang w:val="lv-LV"/>
        </w:rPr>
        <w:t>līdz 2020. gada 31. decembrim ir bijuši 18 saistību neizpildes gadījumi, un papildu maksa ir tikusi atgriezta 3 no tiem</w:t>
      </w:r>
      <w:r w:rsidRPr="00D1358A">
        <w:rPr>
          <w:rFonts w:ascii="Arial Narrow" w:eastAsia="Arial Narrow" w:hAnsi="Arial Narrow" w:cs="Arial Narrow"/>
          <w:sz w:val="16"/>
          <w:szCs w:val="16"/>
          <w:lang w:val="lv-LV"/>
        </w:rPr>
        <w:t>).</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7609087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Ieņēmumus no mainīgās un fiksētās daļas </w:t>
      </w:r>
      <w:r w:rsidRPr="00D1358A">
        <w:rPr>
          <w:rFonts w:ascii="Arial Narrow" w:eastAsia="Arial Narrow" w:hAnsi="Arial Narrow" w:cs="Arial Narrow"/>
          <w:sz w:val="16"/>
          <w:szCs w:val="16"/>
          <w:lang w:val="lv-LV"/>
        </w:rPr>
        <w:t>atzīst peļņas vai zaudējumu un apvienoto ienākumu pārskatā kā komisijas naudu par klientu piesaisti. Detalizēta informācija ir sniegta 14. piezīmē.</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5396EEB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605187F9"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 xml:space="preserve">Ieņēmumi no pārstādāmajām izmaksām - aģenta pakalpojumi </w:t>
      </w:r>
      <w:r w:rsidRPr="00D1358A">
        <w:rPr>
          <w:rFonts w:ascii="Arial Narrow" w:eastAsia="Arial Narrow" w:hAnsi="Arial Narrow" w:cs="Arial Narrow"/>
          <w:i/>
          <w:iCs/>
          <w:sz w:val="16"/>
          <w:szCs w:val="16"/>
          <w:lang w:val="lv-LV"/>
        </w:rPr>
        <w:t xml:space="preserve">(konkrētā brīdī): </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5E6CA6" w:rsidP="008E47ED" w14:paraId="3398F46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Aģenta pakalpojumi ietver dažādus pakalpojumus, piemēram, norēķinus par izmaksām trešo un saistīto pušu labā un šo izmaksu iekļaušanu rēķinos klientiem vai saistītām pusēm. Sniedzot šos pakalpojumus klientiem, Koncerns rīkojas a</w:t>
      </w:r>
      <w:r w:rsidRPr="00D1358A">
        <w:rPr>
          <w:rFonts w:ascii="Arial Narrow" w:eastAsia="Arial Narrow" w:hAnsi="Arial Narrow" w:cs="Arial Narrow"/>
          <w:sz w:val="16"/>
          <w:szCs w:val="16"/>
          <w:lang w:val="lv-LV"/>
        </w:rPr>
        <w:t>ģents. Šādi pakalpojumi tiek sniegti ar mērķi izmantot mēroga ietaupījumus, iepērkot pakalpojumus, kurus izmanto gan Koncerns, gan tā saistītās puses, gan trešās puses. Izpildes saistības tiek apmierinātas brīdī, kad attiecīgais pakalpojums tiek sniegts. Š</w:t>
      </w:r>
      <w:r w:rsidRPr="00D1358A">
        <w:rPr>
          <w:rFonts w:ascii="Arial Narrow" w:eastAsia="Arial Narrow" w:hAnsi="Arial Narrow" w:cs="Arial Narrow"/>
          <w:sz w:val="16"/>
          <w:szCs w:val="16"/>
          <w:lang w:val="lv-LV"/>
        </w:rPr>
        <w:t>iem pakalpojumiem Koncerns nepiemēro uzcenojumu.</w:t>
      </w:r>
    </w:p>
    <w:p w:rsidR="00632259" w:rsidP="008E47ED" w14:paraId="1C240DAF" w14:textId="77777777">
      <w:pPr>
        <w:keepLines/>
        <w:spacing w:after="0"/>
        <w:jc w:val="both"/>
        <w:rPr>
          <w:rFonts w:ascii="Arial Narrow" w:eastAsia="Arial Narrow" w:hAnsi="Arial Narrow" w:cs="Arial Narrow"/>
          <w:sz w:val="16"/>
          <w:szCs w:val="16"/>
          <w:lang w:val="lv-LV"/>
        </w:rPr>
      </w:pPr>
    </w:p>
    <w:p w:rsidR="003E6728" w:rsidRPr="00D1358A" w:rsidP="003E6728" w14:paraId="2E2DA394" w14:textId="77777777">
      <w:pPr>
        <w:keepLines/>
        <w:spacing w:after="0"/>
        <w:jc w:val="both"/>
        <w:rPr>
          <w:rFonts w:ascii="Arial Narrow" w:eastAsia="Arial Narrow" w:hAnsi="Arial Narrow" w:cs="Arial Narrow"/>
          <w:i/>
          <w:iCs/>
          <w:sz w:val="16"/>
          <w:szCs w:val="16"/>
          <w:lang w:val="lv-LV"/>
        </w:rPr>
      </w:pPr>
      <w:r w:rsidRPr="00D1358A">
        <w:rPr>
          <w:rFonts w:ascii="Arial Narrow" w:eastAsia="Arial Narrow" w:hAnsi="Arial Narrow" w:cs="Arial Narrow"/>
          <w:i/>
          <w:iCs/>
          <w:sz w:val="16"/>
          <w:szCs w:val="16"/>
          <w:lang w:val="lv-LV"/>
        </w:rPr>
        <w:t xml:space="preserve">Ieņēmumi no pakalpojumu maksas (konkrētā brīdī): </w:t>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r w:rsidRPr="00D1358A">
        <w:rPr>
          <w:rFonts w:ascii="Arial Narrow" w:eastAsia="Arial Narrow" w:hAnsi="Arial Narrow" w:cs="Arial Narrow"/>
          <w:i/>
          <w:iCs/>
          <w:sz w:val="16"/>
          <w:szCs w:val="16"/>
          <w:lang w:val="lv-LV"/>
        </w:rPr>
        <w:tab/>
      </w:r>
    </w:p>
    <w:p w:rsidR="003E6728" w:rsidRPr="00D1358A" w:rsidP="003E6728" w14:paraId="27E936A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Radniecīgajai sabiedrībai Koncerns sniedz mārketinga, partnerību vadības, automašīnu vērtēšanas, parādu piedziņas, automašīnu pārdošanas, IT sistēmu atbalsta un citus pakalpojumus. Maksa par šo pakalpojumu izpildi tiek atzīta brīdī, kad darījums ir pabeigts, jo klients saņem labumus no Koncerna veiktās izpildes tikai pēc veiksmīgas nepieciešamo procedūru izpildes. Pakalpojumu maksu aprēķina un uzkrāj katru mēnesi, un rēķinus Koncerns izdod nākamajā mēnesī. Ieņēmumus atzīst brīdī, kad pakalpojums tiek sniegts.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3E6728" w:rsidRPr="00D1358A" w:rsidP="003E6728" w14:paraId="38E2DFB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3E6728" w:rsidRPr="00D1358A" w:rsidP="003E6728" w14:paraId="72AC4B29" w14:textId="77777777">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Līguma aktīvi</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3E6728" w:rsidRPr="00D1358A" w:rsidP="003E6728" w14:paraId="56CC5722"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Līguma aktīvi ir tiesības uz atlīdzību apmaiņā pret precēm vai pakalpojumiem, kas nodoti klientam. Ja Koncerns nodod preces klientam, pirms klients samaksā atlīdzību vai pirms pienācis maksājuma termiņš, līguma aktīvs tiek atzīts par nopelnītu atlīdzību.</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3E6728" w:rsidRPr="00D1358A" w:rsidP="003E6728" w14:paraId="78379B4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Koncerna finanšu stāvokļa pārskatā 31. decembrī ir uzrādīti līgumu aktīvi. Skatīt 27. piezīmi.</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3E6728" w:rsidRPr="00D1358A" w:rsidP="003E6728" w14:paraId="084CCA2A"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3E6728" w:rsidRPr="00D1358A" w:rsidP="003E6728" w14:paraId="04F458F2" w14:textId="77777777">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Pircēju un pasūtītāju parādi</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3E6728" w:rsidRPr="00D1358A" w:rsidP="003E6728" w14:paraId="2D04EB6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Debitoru parāds atspoguļo Koncerna tiesības uz beznosacījuma atlīdzību (t.i., ir jāpaiet tikai noteiktam laika periodam, pirms ir pienācis minētās atlīdzības maksājuma termiņš).</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3E6728" w:rsidRPr="00D1358A" w:rsidP="003E6728" w14:paraId="30C847D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Pircēju un pasūtītāju parādi ir uzrādīti bilances postenī “Pircēju un pasūtītāju parādi” (25. piezīme).</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3E6728" w:rsidRPr="00D1358A" w:rsidP="003E6728" w14:paraId="0E796A3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Pircēju un pasūtītāju parādi nav procentus nesoši, un to parastais dzēšanas termiņš ir 30 līdz 120 dienas.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3E6728" w:rsidRPr="00D1358A" w:rsidP="003E6728" w14:paraId="62EB6DCE"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3E6728" w:rsidRPr="00D1358A" w:rsidP="003E6728" w14:paraId="7CE064C7" w14:textId="77777777">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Līguma saistības</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3E6728" w:rsidRPr="00D1358A" w:rsidP="003E6728" w14:paraId="47872A8B"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Līguma saistības ir pienākums nodot preces vai pakalpojumus klientam, par kuriem Koncerns ir saņēmis atlīdzību no klienta (vai par ko pienākas atlīdzība no klienta). Ja klients samaksā atlīdzību, pirms Koncerns nodod preci vai pakalpojumu klientam, līguma saistības tiek atzītas, kad maksājums ir veikts vai pienācis maksājuma veikšanas termiņš (atkarībā no tā, kurš no šiem notikumiem noticis agrāk). Līguma saistības tiek atzītas kā ieņēmumi, kad Koncerns ir izpildījis savus līgumā noteiktos pienākumus.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3E6728" w:rsidRPr="00D1358A" w:rsidP="003E6728" w14:paraId="4C374F99" w14:textId="2777E0E7">
      <w:pPr>
        <w:keepLines/>
        <w:spacing w:after="0"/>
        <w:jc w:val="both"/>
        <w:rPr>
          <w:rFonts w:ascii="Arial Narrow" w:eastAsia="Arial Narrow" w:hAnsi="Arial Narrow" w:cs="Arial Narrow"/>
          <w:sz w:val="16"/>
          <w:szCs w:val="16"/>
          <w:lang w:val="lv-LV"/>
        </w:rPr>
        <w:sectPr w:rsidSect="00B05740">
          <w:headerReference w:type="even" r:id="rId144"/>
          <w:headerReference w:type="default" r:id="rId145"/>
          <w:footerReference w:type="even" r:id="rId146"/>
          <w:footerReference w:type="default" r:id="rId147"/>
          <w:headerReference w:type="first" r:id="rId148"/>
          <w:footerReference w:type="first" r:id="rId149"/>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r w:rsidRPr="00D1358A">
        <w:rPr>
          <w:rFonts w:ascii="Arial Narrow" w:eastAsia="Arial Narrow" w:hAnsi="Arial Narrow" w:cs="Arial Narrow"/>
          <w:sz w:val="16"/>
          <w:szCs w:val="16"/>
          <w:lang w:val="lv-LV"/>
        </w:rPr>
        <w:t>Koncerna konsolidētajā finanšu stāvokļa pārskatā 31. decembrī nav ietverta līgumsaistību summa.</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0F1A8BA" w14:textId="52EF9516">
      <w:pPr>
        <w:keepLines/>
        <w:spacing w:after="0"/>
        <w:jc w:val="both"/>
        <w:rPr>
          <w:rFonts w:ascii="Arial Narrow" w:eastAsia="Arial Narrow" w:hAnsi="Arial Narrow" w:cs="Arial Narrow"/>
          <w:b/>
          <w:bCs/>
          <w:sz w:val="16"/>
          <w:szCs w:val="16"/>
          <w:lang w:val="lv-LV"/>
        </w:rPr>
      </w:pPr>
      <w:r w:rsidRPr="00D1358A">
        <w:rPr>
          <w:rFonts w:ascii="Arial Narrow" w:eastAsia="Arial Narrow" w:hAnsi="Arial Narrow" w:cs="Arial Narrow"/>
          <w:b/>
          <w:bCs/>
          <w:sz w:val="16"/>
          <w:szCs w:val="16"/>
          <w:lang w:val="lv-LV"/>
        </w:rPr>
        <w:t>2. Nozīmīgu grāmatvedības uzskaites principu kopsavilkums (turpinājums)</w:t>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r w:rsidRPr="00D1358A">
        <w:rPr>
          <w:rFonts w:ascii="Arial Narrow" w:eastAsia="Arial Narrow" w:hAnsi="Arial Narrow" w:cs="Arial Narrow"/>
          <w:b/>
          <w:bCs/>
          <w:sz w:val="16"/>
          <w:szCs w:val="16"/>
          <w:lang w:val="lv-LV"/>
        </w:rPr>
        <w:tab/>
      </w:r>
    </w:p>
    <w:p w:rsidR="00A5438E" w:rsidRPr="00D1358A" w:rsidP="003E6728" w14:paraId="3F81AD85" w14:textId="46C19383">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d</w:t>
      </w:r>
      <w:r w:rsidRPr="00D1358A" w:rsidR="006E614D">
        <w:rPr>
          <w:rFonts w:ascii="Arial Narrow" w:eastAsia="Arial Narrow" w:hAnsi="Arial Narrow" w:cs="Arial Narrow"/>
          <w:b/>
          <w:bCs/>
          <w:i/>
          <w:iCs/>
          <w:sz w:val="16"/>
          <w:szCs w:val="16"/>
          <w:lang w:val="lv-LV"/>
        </w:rPr>
        <w:t>) Svarīgākās grāmatvedības uzskaites politikas (turpinājums)</w:t>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sidR="006E614D">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sz w:val="16"/>
          <w:szCs w:val="16"/>
          <w:lang w:val="lv-LV"/>
        </w:rPr>
        <w:tab/>
      </w:r>
    </w:p>
    <w:p w:rsidR="00A5438E" w:rsidRPr="00D1358A" w:rsidP="008E47ED" w14:paraId="20BA0243" w14:textId="5CAF33B6">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p>
    <w:p w:rsidR="00A5438E" w:rsidRPr="00D1358A" w:rsidP="008E47ED" w14:paraId="1AF5829C"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Uzņēmumu ienākuma nodoklis</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5E6CA6" w14:paraId="512D0005" w14:textId="6207AD7C">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Sakot ar 2018. gada 1. janvāri, saskaņā ar Latvijas Republikas Uzņēmumu ienākuma nodokļa likuma izmaiņām juridiskām personām nav jāmaksā ienākuma nodoklis par gūto peļņu. Uzņēmumu ienākuma nodoklis tiek maksāts par sadalīto peļņu un nosacīti sadalīto peļņu</w:t>
      </w:r>
      <w:r w:rsidRPr="00D1358A">
        <w:rPr>
          <w:rFonts w:ascii="Arial Narrow" w:eastAsia="Arial Narrow" w:hAnsi="Arial Narrow" w:cs="Arial Narrow"/>
          <w:sz w:val="16"/>
          <w:szCs w:val="16"/>
          <w:lang w:val="lv-LV"/>
        </w:rPr>
        <w:t>. Tādējādi pārskata perioda nodokļa aktīvi un saistības tiek novērtētas, izmantojot nodokļu likmi, kas piemērojama nesadalītajai peļņai. Sākot ar 2018. gada 1. janvāri, sadalītajai un nosacīti sadalītajai peļņai tiek piemērota nodokļa likme 20 procentu apm</w:t>
      </w:r>
      <w:r w:rsidRPr="00D1358A">
        <w:rPr>
          <w:rFonts w:ascii="Arial Narrow" w:eastAsia="Arial Narrow" w:hAnsi="Arial Narrow" w:cs="Arial Narrow"/>
          <w:sz w:val="16"/>
          <w:szCs w:val="16"/>
          <w:lang w:val="lv-LV"/>
        </w:rPr>
        <w:t xml:space="preserve">ērā no bruto summas jeb 20/80 no neto izmaksām. Uzņēmumu ienākuma nodoklis par dividenžu izmaksu tiek atzīts konsolidētajā peļņas vai zaudējumu aprēķinā kā izmaksas tajā pārskata periodā, kad attiecīgās dividendes pasludinātas, savukārt pārējiem nosacītās </w:t>
      </w:r>
      <w:r w:rsidRPr="00D1358A">
        <w:rPr>
          <w:rFonts w:ascii="Arial Narrow" w:eastAsia="Arial Narrow" w:hAnsi="Arial Narrow" w:cs="Arial Narrow"/>
          <w:sz w:val="16"/>
          <w:szCs w:val="16"/>
          <w:lang w:val="lv-LV"/>
        </w:rPr>
        <w:t>peļņas objektiem – brīdī, kad izmaksas radušās pārskata gada ietvaros.</w:t>
      </w:r>
      <w:r w:rsidRPr="00D1358A">
        <w:rPr>
          <w:rFonts w:ascii="Arial Narrow" w:eastAsia="Arial Narrow" w:hAnsi="Arial Narrow" w:cs="Arial Narrow"/>
          <w:sz w:val="16"/>
          <w:szCs w:val="16"/>
          <w:lang w:val="lv-LV"/>
        </w:rPr>
        <w:tab/>
      </w:r>
    </w:p>
    <w:p w:rsidR="00A5438E" w:rsidRPr="00D1358A" w:rsidP="008E47ED" w14:paraId="4666A1E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E7BF22F" w14:textId="732347A5">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Konsolidētais finanšu pārskats ietver Koncerna Latvijā strādājošo meitas sabiedrību par pārskata gadu aprēķināto uzņēmumu ienākuma nodokli. Uzņēmumu ienākuma nodokļa likme La</w:t>
      </w:r>
      <w:r w:rsidRPr="00D1358A">
        <w:rPr>
          <w:rFonts w:ascii="Arial Narrow" w:eastAsia="Arial Narrow" w:hAnsi="Arial Narrow" w:cs="Arial Narrow"/>
          <w:sz w:val="16"/>
          <w:szCs w:val="16"/>
          <w:lang w:val="lv-LV"/>
        </w:rPr>
        <w:t xml:space="preserve">tvijā ir 20%. Par pārskata gadu aprēķinātais uzņēmumu ienākuma nodoklis tiek atzīts peļņas vai zaudējumu aprēķinā, izņemot, ja tas attiecas uz posteņiem, kas atzīti tieši pašu kapitālā vai pārējos apvienotajos ienākumos; tādā gadījumā tas tie atzīts tieši </w:t>
      </w:r>
      <w:r w:rsidRPr="00D1358A">
        <w:rPr>
          <w:rFonts w:ascii="Arial Narrow" w:eastAsia="Arial Narrow" w:hAnsi="Arial Narrow" w:cs="Arial Narrow"/>
          <w:sz w:val="16"/>
          <w:szCs w:val="16"/>
          <w:lang w:val="lv-LV"/>
        </w:rPr>
        <w:t>pašu kapitālā vai pārējos apvienotajos ienākumos.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406E373" w14:textId="5B974F3A">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Pirms dividenžu izsludināšanas nekādi uzkrājumi uzņēmumu ienākuma nodoklim par dividenžu izmaksu netiek atzīti, bet informācija par iespējamām saistībām tiek sniegta konsolidētā finanšu pārs</w:t>
      </w:r>
      <w:r w:rsidRPr="00D1358A">
        <w:rPr>
          <w:rFonts w:ascii="Arial Narrow" w:eastAsia="Arial Narrow" w:hAnsi="Arial Narrow" w:cs="Arial Narrow"/>
          <w:sz w:val="16"/>
          <w:szCs w:val="16"/>
          <w:lang w:val="lv-LV"/>
        </w:rPr>
        <w:t>kata pielikumā.</w:t>
      </w:r>
      <w:r w:rsidRPr="00D1358A">
        <w:rPr>
          <w:rFonts w:ascii="Arial Narrow" w:eastAsia="Arial Narrow" w:hAnsi="Arial Narrow" w:cs="Arial Narrow"/>
          <w:sz w:val="16"/>
          <w:szCs w:val="16"/>
          <w:lang w:val="lv-LV"/>
        </w:rPr>
        <w:tab/>
      </w:r>
    </w:p>
    <w:p w:rsidR="00A5438E" w:rsidRPr="00D1358A" w:rsidP="008E47ED" w14:paraId="1750553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0189E4FF" w14:textId="4AAC69E5">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Tā kā UIN tiek maksāts par sadalīto peļņu un nosacīti sadalīto peļņu, neveidojas pagaidu starpības starp aktīvu un saistību vērtībām, kas tika izmantotas nodokļu aprēķiniem, un to vērtību grāmatvedības uzskaitē. Tāpēc netiek atzī</w:t>
      </w:r>
      <w:r w:rsidRPr="00D1358A">
        <w:rPr>
          <w:rFonts w:ascii="Arial Narrow" w:eastAsia="Arial Narrow" w:hAnsi="Arial Narrow" w:cs="Arial Narrow"/>
          <w:sz w:val="16"/>
          <w:szCs w:val="16"/>
          <w:lang w:val="lv-LV"/>
        </w:rPr>
        <w:t>ts ne atliktā nodokļa aktīvs, ne atliktā nodokļa saistības.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222B7BF"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Saistītās personas</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A5438E" w:rsidRPr="00D1358A" w:rsidP="005E6CA6" w14:paraId="6F202B39" w14:textId="56C75476">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Ja viena persona var kontrolēt otru vai arī, ja tai ir ievērojama ietekme uz otru pusi, pieņemot ar finansēm vai saimniecisko darbību saistītus lēmumus</w:t>
      </w:r>
      <w:r w:rsidRPr="00D1358A">
        <w:rPr>
          <w:rFonts w:ascii="Arial Narrow" w:eastAsia="Arial Narrow" w:hAnsi="Arial Narrow" w:cs="Arial Narrow"/>
          <w:sz w:val="16"/>
          <w:szCs w:val="16"/>
          <w:lang w:val="lv-LV"/>
        </w:rPr>
        <w:t>, tad tās tiek uzskatītas par saistītām personām. Koncerna saistītās personas ir akcionāri, kas varētu kontrolēt vai kam ir būtiska ietekme pār Koncernu, pieņemot ar saimniecisko darbību saistītus lēmumus, Koncerna augsta līmeņa vadība, ieskaitot tā uzraud</w:t>
      </w:r>
      <w:r w:rsidRPr="00D1358A">
        <w:rPr>
          <w:rFonts w:ascii="Arial Narrow" w:eastAsia="Arial Narrow" w:hAnsi="Arial Narrow" w:cs="Arial Narrow"/>
          <w:sz w:val="16"/>
          <w:szCs w:val="16"/>
          <w:lang w:val="lv-LV"/>
        </w:rPr>
        <w:t>zības struktūru ─ Revīzijas komisiju, un iepriekš minēto personu tuvi ģimenes locekļi, kā arī sabiedrības, kurās minētajām personām ir kontrole vai būtiska ietekme.</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402721EE"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384D7F34" w14:textId="44C2AC74">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Koncerns ir noteicis, ka persona vai tuvs šās personas ģimenes loceklis ir </w:t>
      </w:r>
      <w:r w:rsidRPr="00D1358A">
        <w:rPr>
          <w:rFonts w:ascii="Arial Narrow" w:eastAsia="Arial Narrow" w:hAnsi="Arial Narrow" w:cs="Arial Narrow"/>
          <w:sz w:val="16"/>
          <w:szCs w:val="16"/>
          <w:lang w:val="lv-LV"/>
        </w:rPr>
        <w:t xml:space="preserve">saistīts ar pārskatu sniedzēju, ja: </w:t>
      </w:r>
    </w:p>
    <w:p w:rsidR="00A5438E" w:rsidRPr="00D1358A" w:rsidP="008E47ED" w14:paraId="1015BC4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 šai personai ir kontrole vai kopīga kontrole pār pārskatu sniedzēju;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A5438E" w:rsidRPr="00D1358A" w:rsidP="008E47ED" w14:paraId="2CE4566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xml:space="preserve">• šai personai ir būtiska ietekme pār pārskata sniedzēju; vai </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3E6728" w:rsidP="008E47ED" w14:paraId="5224639F"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šī persona ir pārskatu sniedzēja vai tā mātes sabiedrības augstā</w:t>
      </w:r>
      <w:r w:rsidRPr="00D1358A">
        <w:rPr>
          <w:rFonts w:ascii="Arial Narrow" w:eastAsia="Arial Narrow" w:hAnsi="Arial Narrow" w:cs="Arial Narrow"/>
          <w:sz w:val="16"/>
          <w:szCs w:val="16"/>
          <w:lang w:val="lv-LV"/>
        </w:rPr>
        <w:t>kās vadības pārstāvis.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3E6728" w:rsidP="008E47ED" w14:paraId="219F7BB0" w14:textId="77777777">
      <w:pPr>
        <w:keepLines/>
        <w:spacing w:after="0"/>
        <w:jc w:val="both"/>
        <w:rPr>
          <w:rFonts w:ascii="Arial Narrow" w:eastAsia="Arial Narrow" w:hAnsi="Arial Narrow" w:cs="Arial Narrow"/>
          <w:sz w:val="16"/>
          <w:szCs w:val="16"/>
          <w:lang w:val="lv-LV"/>
        </w:rPr>
      </w:pPr>
    </w:p>
    <w:p w:rsidR="003E6728" w:rsidRPr="00D1358A" w:rsidP="003E6728" w14:paraId="7E58DD89"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Sabiedrība ir saistīta ar pārskatu sniedzēju, ja tā atbilst šādiem nosacījumiem:</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3E6728" w:rsidRPr="00D1358A" w:rsidP="003E6728" w14:paraId="3237BF5D"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sabiedrība un pārskatu sniedzējs pieder vienai uzņēmumu grupai (kas nozīmē, ka mātes sabiedrība, meitas sabiedrība un māsu sabiedrības ir saistītās puses vienai otrai);</w:t>
      </w:r>
    </w:p>
    <w:p w:rsidR="003E6728" w:rsidRPr="00D1358A" w:rsidP="003E6728" w14:paraId="1FB5308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viena sabiedrība ir otras sabiedrības asociēta sabiedrība vai kopuzņēmums (vai asociēta sabiedrība vai kopuzņēmums tās grupas sabiedrībai, kurai pieder otra sabiedrība);</w:t>
      </w:r>
    </w:p>
    <w:p w:rsidR="003E6728" w:rsidRPr="00D1358A" w:rsidP="003E6728" w14:paraId="05134113"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abas sabiedrības ir kopuzņēmumi vienai un tai pašai trešajai pusei;</w:t>
      </w:r>
      <w:r w:rsidRPr="00D1358A">
        <w:rPr>
          <w:rFonts w:ascii="Arial Narrow" w:eastAsia="Arial Narrow" w:hAnsi="Arial Narrow" w:cs="Arial Narrow"/>
          <w:sz w:val="16"/>
          <w:szCs w:val="16"/>
          <w:lang w:val="lv-LV"/>
        </w:rPr>
        <w:tab/>
      </w:r>
    </w:p>
    <w:p w:rsidR="003E6728" w:rsidRPr="00D1358A" w:rsidP="003E6728" w14:paraId="4EB438D0"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viena sabiedrība ir trešās puses kopuzņēmums, bet otra sabiedrība ir tās pašas trešās puses asociētā sabiedrība;</w:t>
      </w:r>
    </w:p>
    <w:p w:rsidR="003E6728" w:rsidRPr="00D1358A" w:rsidP="003E6728" w14:paraId="72F46544"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sabiedrība ir pēcnodarbinātības pabalstu plāns atskaišu sniedzēja sabiedrības darbiniekiem vai sabiedrības, kura saistīta ar pārskatu sniedzēju, darbiniekiem. Ja pārskatu sniedzējs pats ir šāda veida plāns, saistītās puses ir arī to sponsorējošie darba devēji;</w:t>
      </w:r>
      <w:r w:rsidRPr="00D1358A">
        <w:rPr>
          <w:rFonts w:ascii="Arial Narrow" w:eastAsia="Arial Narrow" w:hAnsi="Arial Narrow" w:cs="Arial Narrow"/>
          <w:sz w:val="16"/>
          <w:szCs w:val="16"/>
          <w:lang w:val="lv-LV"/>
        </w:rPr>
        <w:tab/>
      </w:r>
    </w:p>
    <w:p w:rsidR="003E6728" w:rsidRPr="00D1358A" w:rsidP="003E6728" w14:paraId="24DDDC83"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sabiedrību kontrolē vai kopīgi kontrolē persona, kas identificēta (a) punktā;</w:t>
      </w:r>
    </w:p>
    <w:p w:rsidR="003E6728" w:rsidRPr="00D1358A" w:rsidP="003E6728" w14:paraId="6E615C5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personai, kas identificēta (a) (i) punktā, ir būtiska ietekme pār sabiedrību vai ir sabiedrības (vai tās mātes sabiedrības) augstākās vadības pārstāvis.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3E6728" w:rsidRPr="00D1358A" w:rsidP="003E6728" w14:paraId="28204BC6"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 sabiedrība vai jebkurš grupas, kurai tā pieder, loceklis sniedz augstākās vadības personāla pakalpojumus pārskatu sniedzējam vai tā mātes sabiedrībai.</w:t>
      </w:r>
    </w:p>
    <w:p w:rsidR="003E6728" w:rsidRPr="00D1358A" w:rsidP="003E6728" w14:paraId="7A07C092"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3E6728" w:rsidRPr="00D1358A" w:rsidP="003E6728" w14:paraId="1673927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Darījumi ar saistītām pusēm ir resursu, pakalpojumu vai saistību nodošana starp pārskatu sniedzēju un tā saistīto pusi neatkarīgi no tā, vai par to ir noteikta atlīdzība.</w:t>
      </w:r>
    </w:p>
    <w:p w:rsidR="003E6728" w:rsidRPr="00D1358A" w:rsidP="003E6728" w14:paraId="6AC752D2" w14:textId="77777777">
      <w:pPr>
        <w:keepLines/>
        <w:spacing w:after="0"/>
        <w:jc w:val="both"/>
        <w:rPr>
          <w:rFonts w:ascii="Arial Narrow" w:eastAsia="Arial Narrow" w:hAnsi="Arial Narrow" w:cs="Arial Narrow"/>
          <w:b/>
          <w:bCs/>
          <w:sz w:val="16"/>
          <w:szCs w:val="16"/>
          <w:lang w:val="lv-LV"/>
        </w:rPr>
      </w:pPr>
    </w:p>
    <w:p w:rsidR="003E6728" w:rsidRPr="00D1358A" w:rsidP="003E6728" w14:paraId="7BC12FD5"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b/>
          <w:bCs/>
          <w:i/>
          <w:iCs/>
          <w:sz w:val="16"/>
          <w:szCs w:val="16"/>
          <w:lang w:val="lv-LV"/>
        </w:rPr>
        <w:t>Dividendes</w:t>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3E6728" w:rsidRPr="00D1358A" w:rsidP="003E6728" w14:paraId="3D54EDCC"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Dividenžu izmaksa Koncerna akcionāriem Koncerna konsolidētajā finanšu pārskatā tiek atzīta kā saistības un nesadalītās peļņas sadale tajā periodā, kurā Koncerna akcionāri apstiprinājuši dividendes. (29. piezīme)</w:t>
      </w:r>
    </w:p>
    <w:p w:rsidR="003E6728" w:rsidRPr="00D1358A" w:rsidP="003E6728" w14:paraId="7E3388D7"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r w:rsidRPr="00D1358A">
        <w:rPr>
          <w:rFonts w:ascii="Arial Narrow" w:eastAsia="Arial Narrow" w:hAnsi="Arial Narrow" w:cs="Arial Narrow"/>
          <w:sz w:val="16"/>
          <w:szCs w:val="16"/>
          <w:lang w:val="lv-LV"/>
        </w:rPr>
        <w:tab/>
      </w:r>
    </w:p>
    <w:p w:rsidR="003E6728" w:rsidRPr="00D1358A" w:rsidP="003E6728" w14:paraId="1A15A93A" w14:textId="77777777">
      <w:pPr>
        <w:keepLines/>
        <w:spacing w:after="0"/>
        <w:jc w:val="both"/>
        <w:rPr>
          <w:rFonts w:ascii="Arial Narrow" w:eastAsia="Arial Narrow" w:hAnsi="Arial Narrow" w:cs="Arial Narrow"/>
          <w:b/>
          <w:bCs/>
          <w:i/>
          <w:iCs/>
          <w:sz w:val="16"/>
          <w:szCs w:val="16"/>
          <w:lang w:val="lv-LV"/>
        </w:rPr>
      </w:pPr>
      <w:r w:rsidRPr="00D1358A">
        <w:rPr>
          <w:rFonts w:ascii="Arial Narrow" w:eastAsia="Arial Narrow" w:hAnsi="Arial Narrow" w:cs="Arial Narrow"/>
          <w:b/>
          <w:bCs/>
          <w:i/>
          <w:iCs/>
          <w:sz w:val="16"/>
          <w:szCs w:val="16"/>
          <w:lang w:val="lv-LV"/>
        </w:rPr>
        <w:t>Notikumi pēc bilances datuma</w:t>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r w:rsidRPr="00D1358A">
        <w:rPr>
          <w:rFonts w:ascii="Arial Narrow" w:eastAsia="Arial Narrow" w:hAnsi="Arial Narrow" w:cs="Arial Narrow"/>
          <w:b/>
          <w:bCs/>
          <w:i/>
          <w:iCs/>
          <w:sz w:val="16"/>
          <w:szCs w:val="16"/>
          <w:lang w:val="lv-LV"/>
        </w:rPr>
        <w:tab/>
      </w:r>
    </w:p>
    <w:p w:rsidR="003E6728" w:rsidP="003E6728" w14:paraId="4C09D921" w14:textId="7777777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Konsolidētajos finanšu pārskatos tiek atspoguļoti tādi notikumi pēc pārskata gada beigām, kas sniedz papildu informāciju par Koncerna finansiālo stāvokli finanšu stāvokļa pārskata sagatavošanas datumā (koriģējošie notikumi). Ja notikumi pēc pārskata gada beigām nav koriģējoši, tie tiek atspoguļoti finanšu pārskata pielikumos tikai tad, ja tie ir būti</w:t>
      </w:r>
      <w:r>
        <w:rPr>
          <w:rFonts w:ascii="Arial Narrow" w:eastAsia="Arial Narrow" w:hAnsi="Arial Narrow" w:cs="Arial Narrow"/>
          <w:sz w:val="16"/>
          <w:szCs w:val="16"/>
          <w:lang w:val="lv-LV"/>
        </w:rPr>
        <w:t>ski.</w:t>
      </w:r>
    </w:p>
    <w:p w:rsidR="003E6728" w:rsidP="003E6728" w14:paraId="30DBB6A2" w14:textId="77777777">
      <w:pPr>
        <w:keepLines/>
        <w:spacing w:after="0"/>
        <w:jc w:val="both"/>
        <w:rPr>
          <w:rFonts w:ascii="Arial Narrow" w:eastAsia="Arial Narrow" w:hAnsi="Arial Narrow" w:cs="Arial Narrow"/>
          <w:sz w:val="16"/>
          <w:szCs w:val="16"/>
          <w:lang w:val="lv-LV"/>
        </w:rPr>
      </w:pPr>
    </w:p>
    <w:p w:rsidR="00A5438E" w:rsidRPr="00D1358A" w:rsidP="008E47ED" w14:paraId="4ED3246D" w14:textId="590EA367">
      <w:pPr>
        <w:keepLines/>
        <w:spacing w:after="0"/>
        <w:jc w:val="both"/>
        <w:rPr>
          <w:rFonts w:ascii="Arial Narrow" w:eastAsia="Arial Narrow" w:hAnsi="Arial Narrow" w:cs="Arial Narrow"/>
          <w:sz w:val="16"/>
          <w:szCs w:val="16"/>
          <w:lang w:val="lv-LV"/>
        </w:rPr>
      </w:pPr>
      <w:r w:rsidRPr="00D1358A">
        <w:rPr>
          <w:rFonts w:ascii="Arial Narrow" w:eastAsia="Arial Narrow" w:hAnsi="Arial Narrow" w:cs="Arial Narrow"/>
          <w:sz w:val="16"/>
          <w:szCs w:val="16"/>
          <w:lang w:val="lv-LV"/>
        </w:rPr>
        <w:tab/>
      </w:r>
    </w:p>
    <w:p w:rsidR="00A5438E" w:rsidRPr="00D1358A" w:rsidP="00AF09B8" w14:paraId="7A58C744" w14:textId="2ADCCED3">
      <w:pPr>
        <w:keepLines/>
        <w:spacing w:after="0"/>
        <w:jc w:val="both"/>
        <w:rPr>
          <w:rFonts w:ascii="Arial Narrow" w:eastAsia="Arial Narrow" w:hAnsi="Arial Narrow" w:cs="Arial Narrow"/>
          <w:b/>
          <w:bCs/>
          <w:i/>
          <w:iCs/>
          <w:sz w:val="16"/>
          <w:szCs w:val="16"/>
          <w:lang w:val="lv-LV"/>
        </w:rPr>
        <w:sectPr w:rsidSect="00B05740">
          <w:headerReference w:type="even" r:id="rId150"/>
          <w:headerReference w:type="default" r:id="rId151"/>
          <w:footerReference w:type="even" r:id="rId152"/>
          <w:footerReference w:type="default" r:id="rId153"/>
          <w:headerReference w:type="first" r:id="rId154"/>
          <w:footerReference w:type="first" r:id="rId155"/>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r>
        <w:t xml:space="preserve"> </w:t>
      </w:r>
    </w:p>
    <w:p w:rsidR="00331FD4" w:rsidRPr="000675CC" w:rsidP="00331FD4" w14:paraId="75B6D391" w14:textId="5CD03B43">
      <w:pPr>
        <w:pageBreakBefore/>
        <w:spacing w:after="0"/>
        <w:jc w:val="both"/>
        <w:rPr>
          <w:rFonts w:ascii="Arial Narrow" w:hAnsi="Arial Narrow"/>
          <w:b/>
          <w:bCs/>
          <w:sz w:val="16"/>
          <w:szCs w:val="16"/>
          <w:lang w:val="lv-LV"/>
        </w:rPr>
      </w:pPr>
      <w:bookmarkStart w:id="1147" w:name="RG_MARKER_6607"/>
      <w:bookmarkStart w:id="1148" w:name="RG_MARKER_6428"/>
      <w:r w:rsidRPr="000675CC">
        <w:rPr>
          <w:rFonts w:ascii="Arial Narrow" w:hAnsi="Arial Narrow"/>
          <w:b/>
          <w:bCs/>
          <w:sz w:val="16"/>
          <w:szCs w:val="16"/>
          <w:lang w:val="lv-LV"/>
        </w:rPr>
        <w:t>3</w:t>
      </w:r>
      <w:r w:rsidRPr="000675CC">
        <w:rPr>
          <w:rFonts w:ascii="Arial Narrow" w:hAnsi="Arial Narrow"/>
          <w:b/>
          <w:bCs/>
          <w:sz w:val="16"/>
          <w:szCs w:val="16"/>
          <w:lang w:val="lv-LV"/>
        </w:rPr>
        <w:t>. Nozīmīgi grāmatvedības spriedumi, aplēses un pieņēmumi</w:t>
      </w:r>
      <w:bookmarkEnd w:id="1148"/>
      <w:bookmarkEnd w:id="1147"/>
    </w:p>
    <w:p w:rsidR="00331FD4" w:rsidRPr="000675CC" w:rsidP="00331FD4" w14:paraId="01DF59CA" w14:textId="77777777">
      <w:pPr>
        <w:spacing w:after="0"/>
        <w:jc w:val="both"/>
        <w:rPr>
          <w:rFonts w:ascii="Arial Narrow" w:hAnsi="Arial Narrow"/>
          <w:sz w:val="16"/>
          <w:szCs w:val="16"/>
          <w:lang w:val="lv-LV"/>
        </w:rPr>
      </w:pP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331FD4" w:rsidRPr="000675CC" w:rsidP="006043EE" w14:paraId="26899811" w14:textId="66E72A61">
      <w:pPr>
        <w:spacing w:after="0"/>
        <w:ind w:firstLine="720"/>
        <w:jc w:val="both"/>
        <w:rPr>
          <w:rFonts w:ascii="Arial Narrow" w:hAnsi="Arial Narrow"/>
          <w:sz w:val="16"/>
          <w:szCs w:val="16"/>
          <w:lang w:val="lv-LV"/>
        </w:rPr>
      </w:pPr>
      <w:r w:rsidRPr="000675CC">
        <w:rPr>
          <w:rFonts w:ascii="Arial Narrow" w:hAnsi="Arial Narrow"/>
          <w:sz w:val="16"/>
          <w:szCs w:val="16"/>
          <w:lang w:val="lv-LV"/>
        </w:rPr>
        <w:t>Sagatavojot konsolidētos finanšu pārskatus saskaņā ar SFPS, vadībai pamatojas uz noteiktiem spriedumiem, aplēsēm un pieņēmumiem, kas attiecas uz aktīvu, saistību, ieņēmumu un izdevumu atzīšanu un uzrādāmajām iespējamām saistībām. Būtiskākias spriedums ir s</w:t>
      </w:r>
      <w:r w:rsidRPr="000675CC">
        <w:rPr>
          <w:rFonts w:ascii="Arial Narrow" w:hAnsi="Arial Narrow"/>
          <w:sz w:val="16"/>
          <w:szCs w:val="16"/>
          <w:lang w:val="lv-LV"/>
        </w:rPr>
        <w:t xml:space="preserve">aistīts ar Koncerna spēju turpināt darbību, savukārt, būtiskas aplēšu jomas konsolidēto finanšu pārskatu sagatavošanā ir finanšu aktīvu un nomas autoparka vērtības samazinājuma novērtējums un finanšu garantiju patiesās vērtības novērtēšana. Lai gan šīs un </w:t>
      </w:r>
      <w:r w:rsidRPr="000675CC">
        <w:rPr>
          <w:rFonts w:ascii="Arial Narrow" w:hAnsi="Arial Narrow"/>
          <w:sz w:val="16"/>
          <w:szCs w:val="16"/>
          <w:lang w:val="lv-LV"/>
        </w:rPr>
        <w:t>citas šajā sadaļā aprakstītas aplēses ir sagatavotas, balstoties uz visaptverošu vadības rīcībā esošo informāciju par pašreizējiem notikumiem un darbībām, faktiskie rezultāti var atšķirties no tām.</w:t>
      </w:r>
    </w:p>
    <w:p w:rsidR="00331FD4" w:rsidRPr="000675CC" w:rsidP="00331FD4" w14:paraId="079B8AE9" w14:textId="77777777">
      <w:pPr>
        <w:spacing w:after="0"/>
        <w:jc w:val="both"/>
        <w:rPr>
          <w:rFonts w:ascii="Arial Narrow" w:hAnsi="Arial Narrow"/>
          <w:sz w:val="16"/>
          <w:szCs w:val="16"/>
          <w:lang w:val="lv-LV"/>
        </w:rPr>
      </w:pP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331FD4" w:rsidRPr="000675CC" w:rsidP="006043EE" w14:paraId="538517E5" w14:textId="001ED2B1">
      <w:pPr>
        <w:spacing w:after="0"/>
        <w:ind w:firstLine="720"/>
        <w:jc w:val="both"/>
        <w:rPr>
          <w:rFonts w:ascii="Arial Narrow" w:hAnsi="Arial Narrow"/>
          <w:sz w:val="16"/>
          <w:szCs w:val="16"/>
          <w:lang w:val="lv-LV"/>
        </w:rPr>
      </w:pPr>
      <w:r w:rsidRPr="000675CC">
        <w:rPr>
          <w:rFonts w:ascii="Arial Narrow" w:hAnsi="Arial Narrow"/>
          <w:sz w:val="16"/>
          <w:szCs w:val="16"/>
          <w:lang w:val="lv-LV"/>
        </w:rPr>
        <w:t>Piemērojot Koncerna grāmatvedības uzskaites prin</w:t>
      </w:r>
      <w:r w:rsidRPr="000675CC">
        <w:rPr>
          <w:rFonts w:ascii="Arial Narrow" w:hAnsi="Arial Narrow"/>
          <w:sz w:val="16"/>
          <w:szCs w:val="16"/>
          <w:lang w:val="lv-LV"/>
        </w:rPr>
        <w:t>cipus, vadība ir izdarījusi šādus galvenos spriedumus un veikusi aplēses, kurām ir bijusi ietekme uz konsolidētājos finanšu pārskatos atzītajām summām:</w:t>
      </w:r>
    </w:p>
    <w:p w:rsidR="00331FD4" w:rsidRPr="000675CC" w:rsidP="00331FD4" w14:paraId="33F28E20" w14:textId="77777777">
      <w:pPr>
        <w:spacing w:after="0"/>
        <w:jc w:val="both"/>
        <w:rPr>
          <w:rFonts w:ascii="Arial Narrow" w:hAnsi="Arial Narrow"/>
          <w:sz w:val="16"/>
          <w:szCs w:val="16"/>
          <w:lang w:val="lv-LV"/>
        </w:rPr>
      </w:pP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3B2972" w:rsidP="00331FD4" w14:paraId="15125601" w14:textId="77777777">
      <w:pPr>
        <w:spacing w:after="0"/>
        <w:jc w:val="both"/>
        <w:rPr>
          <w:rFonts w:ascii="Arial Narrow" w:hAnsi="Arial Narrow"/>
          <w:b/>
          <w:bCs/>
          <w:sz w:val="16"/>
          <w:szCs w:val="16"/>
          <w:lang w:val="lv-LV"/>
        </w:rPr>
      </w:pPr>
      <w:r w:rsidRPr="000675CC">
        <w:rPr>
          <w:rFonts w:ascii="Arial Narrow" w:hAnsi="Arial Narrow"/>
          <w:b/>
          <w:bCs/>
          <w:sz w:val="16"/>
          <w:szCs w:val="16"/>
          <w:lang w:val="lv-LV"/>
        </w:rPr>
        <w:t>Darbības turpināšana</w:t>
      </w:r>
      <w:r w:rsidRPr="000675CC">
        <w:rPr>
          <w:rFonts w:ascii="Arial Narrow" w:hAnsi="Arial Narrow"/>
          <w:b/>
          <w:bCs/>
          <w:sz w:val="16"/>
          <w:szCs w:val="16"/>
          <w:lang w:val="lv-LV"/>
        </w:rPr>
        <w:tab/>
      </w:r>
    </w:p>
    <w:p w:rsidR="00331FD4" w:rsidRPr="000675CC" w:rsidP="00331FD4" w14:paraId="7B43249C" w14:textId="676B290A">
      <w:pPr>
        <w:spacing w:after="0"/>
        <w:jc w:val="both"/>
        <w:rPr>
          <w:rFonts w:ascii="Arial Narrow" w:hAnsi="Arial Narrow"/>
          <w:b/>
          <w:bCs/>
          <w:sz w:val="16"/>
          <w:szCs w:val="16"/>
          <w:lang w:val="lv-LV"/>
        </w:rPr>
      </w:pPr>
      <w:r w:rsidRPr="000675CC">
        <w:rPr>
          <w:rFonts w:ascii="Arial Narrow" w:hAnsi="Arial Narrow"/>
          <w:b/>
          <w:bCs/>
          <w:sz w:val="16"/>
          <w:szCs w:val="16"/>
          <w:lang w:val="lv-LV"/>
        </w:rPr>
        <w:tab/>
      </w:r>
      <w:r w:rsidRPr="000675CC">
        <w:rPr>
          <w:rFonts w:ascii="Arial Narrow" w:hAnsi="Arial Narrow"/>
          <w:b/>
          <w:bCs/>
          <w:sz w:val="16"/>
          <w:szCs w:val="16"/>
          <w:lang w:val="lv-LV"/>
        </w:rPr>
        <w:tab/>
      </w:r>
      <w:r w:rsidRPr="000675CC">
        <w:rPr>
          <w:rFonts w:ascii="Arial Narrow" w:hAnsi="Arial Narrow"/>
          <w:b/>
          <w:bCs/>
          <w:sz w:val="16"/>
          <w:szCs w:val="16"/>
          <w:lang w:val="lv-LV"/>
        </w:rPr>
        <w:tab/>
      </w:r>
      <w:r w:rsidRPr="000675CC">
        <w:rPr>
          <w:rFonts w:ascii="Arial Narrow" w:hAnsi="Arial Narrow"/>
          <w:b/>
          <w:bCs/>
          <w:sz w:val="16"/>
          <w:szCs w:val="16"/>
          <w:lang w:val="lv-LV"/>
        </w:rPr>
        <w:tab/>
      </w:r>
      <w:r w:rsidRPr="000675CC">
        <w:rPr>
          <w:rFonts w:ascii="Arial Narrow" w:hAnsi="Arial Narrow"/>
          <w:b/>
          <w:bCs/>
          <w:sz w:val="16"/>
          <w:szCs w:val="16"/>
          <w:lang w:val="lv-LV"/>
        </w:rPr>
        <w:tab/>
      </w:r>
      <w:r w:rsidRPr="000675CC">
        <w:rPr>
          <w:rFonts w:ascii="Arial Narrow" w:hAnsi="Arial Narrow"/>
          <w:b/>
          <w:bCs/>
          <w:sz w:val="16"/>
          <w:szCs w:val="16"/>
          <w:lang w:val="lv-LV"/>
        </w:rPr>
        <w:tab/>
      </w:r>
      <w:r w:rsidRPr="000675CC">
        <w:rPr>
          <w:rFonts w:ascii="Arial Narrow" w:hAnsi="Arial Narrow"/>
          <w:b/>
          <w:bCs/>
          <w:sz w:val="16"/>
          <w:szCs w:val="16"/>
          <w:lang w:val="lv-LV"/>
        </w:rPr>
        <w:tab/>
      </w:r>
      <w:r w:rsidRPr="000675CC">
        <w:rPr>
          <w:rFonts w:ascii="Arial Narrow" w:hAnsi="Arial Narrow"/>
          <w:b/>
          <w:bCs/>
          <w:sz w:val="16"/>
          <w:szCs w:val="16"/>
          <w:lang w:val="lv-LV"/>
        </w:rPr>
        <w:tab/>
      </w:r>
    </w:p>
    <w:p w:rsidR="00331FD4" w:rsidRPr="000675CC" w:rsidP="00331FD4" w14:paraId="59E05D58" w14:textId="3D185CDF">
      <w:pPr>
        <w:spacing w:after="0"/>
        <w:jc w:val="both"/>
        <w:rPr>
          <w:rFonts w:ascii="Arial Narrow" w:hAnsi="Arial Narrow"/>
          <w:sz w:val="16"/>
          <w:szCs w:val="16"/>
          <w:lang w:val="lv-LV"/>
        </w:rPr>
      </w:pPr>
      <w:r w:rsidRPr="000675CC">
        <w:rPr>
          <w:rFonts w:ascii="Arial Narrow" w:hAnsi="Arial Narrow"/>
          <w:sz w:val="16"/>
          <w:szCs w:val="16"/>
          <w:lang w:val="lv-LV"/>
        </w:rPr>
        <w:t xml:space="preserve">Šie konsolidētie finanšu pārskati ir sagatavoti, balstoties uz </w:t>
      </w:r>
      <w:r w:rsidRPr="000675CC">
        <w:rPr>
          <w:rFonts w:ascii="Arial Narrow" w:hAnsi="Arial Narrow"/>
          <w:sz w:val="16"/>
          <w:szCs w:val="16"/>
          <w:lang w:val="lv-LV"/>
        </w:rPr>
        <w:t>darbības turpināšanas principu.</w:t>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331FD4" w:rsidRPr="000675CC" w:rsidP="00331FD4" w14:paraId="372CA0E3" w14:textId="1B119FC3">
      <w:pPr>
        <w:spacing w:after="0"/>
        <w:jc w:val="both"/>
        <w:rPr>
          <w:rFonts w:ascii="Arial Narrow" w:hAnsi="Arial Narrow"/>
          <w:sz w:val="16"/>
          <w:szCs w:val="16"/>
          <w:lang w:val="lv-LV"/>
        </w:rPr>
      </w:pP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331FD4" w:rsidRPr="000675CC" w:rsidP="00331FD4" w14:paraId="4624F89C" w14:textId="77777777">
      <w:pPr>
        <w:spacing w:after="0"/>
        <w:jc w:val="both"/>
        <w:rPr>
          <w:rFonts w:ascii="Arial Narrow" w:hAnsi="Arial Narrow"/>
          <w:i/>
          <w:iCs/>
          <w:sz w:val="16"/>
          <w:szCs w:val="16"/>
          <w:lang w:val="lv-LV"/>
        </w:rPr>
      </w:pPr>
      <w:r w:rsidRPr="000675CC">
        <w:rPr>
          <w:rFonts w:ascii="Arial Narrow" w:hAnsi="Arial Narrow"/>
          <w:i/>
          <w:iCs/>
          <w:sz w:val="16"/>
          <w:szCs w:val="16"/>
          <w:lang w:val="lv-LV"/>
        </w:rPr>
        <w:t>Koncerna darbība Covid-19 apstākļos</w:t>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p>
    <w:p w:rsidR="00A61D2A" w:rsidRPr="000675CC" w:rsidP="00A61D2A" w14:paraId="189A6189"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Koncerns ir veiksmīgi pārdzīvojis pirmo, otro un pašreizējo Covid-19 vilni, kas Koncerna darbības rezultātus ir ietekmējuši nebūtiski. Šajā periodā Koncerna kredīt</w:t>
      </w:r>
      <w:r w:rsidRPr="000675CC">
        <w:rPr>
          <w:rFonts w:ascii="Arial Narrow" w:hAnsi="Arial Narrow"/>
          <w:sz w:val="16"/>
          <w:szCs w:val="16"/>
          <w:lang w:val="lv-LV"/>
        </w:rPr>
        <w:t>portfeļa kvalitāte ir bijusi relatīvi stabila, un tas ar pārliecību uzsāk 2022. gadu gan no operatīvās, gan no finansējuma pieejamības perspektīvas:</w:t>
      </w:r>
    </w:p>
    <w:p w:rsidR="00A61D2A" w:rsidRPr="000675CC" w:rsidP="00A61D2A" w14:paraId="759C81D5" w14:textId="32801356">
      <w:pPr>
        <w:spacing w:after="0"/>
        <w:jc w:val="both"/>
        <w:rPr>
          <w:rFonts w:ascii="Arial Narrow" w:hAnsi="Arial Narrow"/>
          <w:sz w:val="16"/>
          <w:szCs w:val="16"/>
          <w:lang w:val="lv-LV"/>
        </w:rPr>
      </w:pPr>
      <w:r w:rsidRPr="000675CC">
        <w:rPr>
          <w:rFonts w:ascii="Arial Narrow" w:hAnsi="Arial Narrow"/>
          <w:sz w:val="16"/>
          <w:szCs w:val="16"/>
          <w:lang w:val="lv-LV"/>
        </w:rPr>
        <w:t>-</w:t>
      </w:r>
      <w:r w:rsidRPr="000675CC">
        <w:rPr>
          <w:rFonts w:ascii="Arial Narrow" w:hAnsi="Arial Narrow"/>
          <w:sz w:val="16"/>
          <w:szCs w:val="16"/>
          <w:lang w:val="lv-LV"/>
        </w:rPr>
        <w:tab/>
        <w:t>2022.gadā  jauns abonēšanas pakalpojums "Renti</w:t>
      </w:r>
      <w:r w:rsidRPr="000675CC" w:rsidR="005807D0">
        <w:rPr>
          <w:rFonts w:ascii="Arial Narrow" w:hAnsi="Arial Narrow"/>
          <w:sz w:val="16"/>
          <w:szCs w:val="16"/>
          <w:lang w:val="lv-LV"/>
        </w:rPr>
        <w:t xml:space="preserve"> plus</w:t>
      </w:r>
      <w:r w:rsidRPr="000675CC">
        <w:rPr>
          <w:rFonts w:ascii="Arial Narrow" w:hAnsi="Arial Narrow"/>
          <w:sz w:val="16"/>
          <w:szCs w:val="16"/>
          <w:lang w:val="lv-LV"/>
        </w:rPr>
        <w:t>" plānots kā AS Renti pamatprodukta piedāvājums saviem</w:t>
      </w:r>
      <w:r w:rsidRPr="000675CC">
        <w:rPr>
          <w:rFonts w:ascii="Arial Narrow" w:hAnsi="Arial Narrow"/>
          <w:sz w:val="16"/>
          <w:szCs w:val="16"/>
          <w:lang w:val="lv-LV"/>
        </w:rPr>
        <w:t xml:space="preserve"> klientiem, vienlaikus samazinot lietoto automašīnu ilgtermiņa nomas pārdošanas apjomu 1,3 milj.EUR apmērā un turpinot AS Mogo </w:t>
      </w:r>
      <w:r w:rsidRPr="000675CC" w:rsidR="00AB5901">
        <w:rPr>
          <w:rFonts w:ascii="Arial Narrow" w:hAnsi="Arial Narrow"/>
          <w:sz w:val="16"/>
          <w:szCs w:val="16"/>
          <w:lang w:val="lv-LV"/>
        </w:rPr>
        <w:t xml:space="preserve">portfeļa pieaugumu līdz </w:t>
      </w:r>
      <w:r w:rsidRPr="000675CC">
        <w:rPr>
          <w:rFonts w:ascii="Arial Narrow" w:hAnsi="Arial Narrow"/>
          <w:sz w:val="16"/>
          <w:szCs w:val="16"/>
          <w:lang w:val="lv-LV"/>
        </w:rPr>
        <w:t>3,3 milj.EUR, kā arī tās pakalpojumu un aģentūru vienošanās ar saistīto personu AS Primero finance</w:t>
      </w:r>
      <w:r w:rsidRPr="000675CC" w:rsidR="00AB5901">
        <w:rPr>
          <w:rFonts w:ascii="Arial Narrow" w:hAnsi="Arial Narrow"/>
          <w:sz w:val="16"/>
          <w:szCs w:val="16"/>
          <w:lang w:val="lv-LV"/>
        </w:rPr>
        <w:t>;</w:t>
      </w:r>
    </w:p>
    <w:p w:rsidR="00331FD4" w:rsidRPr="000675CC" w:rsidP="00A61D2A" w14:paraId="2104CE54" w14:textId="77F673E7">
      <w:pPr>
        <w:spacing w:after="0"/>
        <w:jc w:val="both"/>
        <w:rPr>
          <w:rFonts w:ascii="Arial Narrow" w:hAnsi="Arial Narrow"/>
          <w:sz w:val="16"/>
          <w:szCs w:val="16"/>
          <w:lang w:val="lv-LV"/>
        </w:rPr>
      </w:pPr>
      <w:r w:rsidRPr="000675CC">
        <w:rPr>
          <w:rFonts w:ascii="Arial Narrow" w:hAnsi="Arial Narrow"/>
          <w:sz w:val="16"/>
          <w:szCs w:val="16"/>
          <w:lang w:val="lv-LV"/>
        </w:rPr>
        <w:t>-</w:t>
      </w:r>
      <w:r w:rsidRPr="000675CC">
        <w:rPr>
          <w:rFonts w:ascii="Arial Narrow" w:hAnsi="Arial Narrow"/>
          <w:sz w:val="16"/>
          <w:szCs w:val="16"/>
          <w:lang w:val="lv-LV"/>
        </w:rPr>
        <w:tab/>
      </w:r>
      <w:r w:rsidRPr="000675CC">
        <w:rPr>
          <w:rFonts w:ascii="Arial Narrow" w:hAnsi="Arial Narrow"/>
          <w:sz w:val="16"/>
          <w:szCs w:val="16"/>
          <w:lang w:val="lv-LV"/>
        </w:rPr>
        <w:t>Paredzams, ka gadā, kas noslēgsies 31.12.2022., EBITDA attiecība pret neto portfeli būs 63%.</w:t>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331FD4" w:rsidRPr="000675CC" w:rsidP="00F40697" w14:paraId="029EF0C7" w14:textId="762320E2">
      <w:pPr>
        <w:spacing w:after="0"/>
        <w:ind w:firstLine="720"/>
        <w:jc w:val="both"/>
        <w:rPr>
          <w:rFonts w:ascii="Arial Narrow" w:hAnsi="Arial Narrow"/>
          <w:sz w:val="16"/>
          <w:szCs w:val="16"/>
          <w:lang w:val="lv-LV"/>
        </w:rPr>
      </w:pPr>
      <w:r w:rsidRPr="000675CC">
        <w:rPr>
          <w:rFonts w:ascii="Arial Narrow" w:hAnsi="Arial Narrow"/>
          <w:sz w:val="16"/>
          <w:szCs w:val="16"/>
          <w:lang w:val="lv-LV"/>
        </w:rPr>
        <w:t>Koncerns pastāvīgi uzrauga tā likviditātes rādītājus. Koncerna galvenie likviditātes rādītāji ir kapitalizācijas un procentu seguma rādītājs. 2021. gada 3</w:t>
      </w:r>
      <w:r w:rsidRPr="000675CC">
        <w:rPr>
          <w:rFonts w:ascii="Arial Narrow" w:hAnsi="Arial Narrow"/>
          <w:sz w:val="16"/>
          <w:szCs w:val="16"/>
          <w:lang w:val="lv-LV"/>
        </w:rPr>
        <w:t>1. decembrī Koncerna kapitalizācijas rādītājs un procentu seguma rādītājs bija attiecīgi 2,39 un 2,81 (31.12.2020: 1,19 un 2,77), kas liecina par stabilu Koncerna likviditāti. Pateicoties diversificētai finansējuma bāzei Koncerna finanšu un likviditātes po</w:t>
      </w:r>
      <w:r w:rsidRPr="000675CC">
        <w:rPr>
          <w:rFonts w:ascii="Arial Narrow" w:hAnsi="Arial Narrow"/>
          <w:sz w:val="16"/>
          <w:szCs w:val="16"/>
          <w:lang w:val="lv-LV"/>
        </w:rPr>
        <w:t>zīcija ir stabila. 202</w:t>
      </w:r>
      <w:r w:rsidRPr="000675CC" w:rsidR="00563150">
        <w:rPr>
          <w:rFonts w:ascii="Arial Narrow" w:hAnsi="Arial Narrow"/>
          <w:sz w:val="16"/>
          <w:szCs w:val="16"/>
          <w:lang w:val="lv-LV"/>
        </w:rPr>
        <w:t>1</w:t>
      </w:r>
      <w:r w:rsidRPr="000675CC">
        <w:rPr>
          <w:rFonts w:ascii="Arial Narrow" w:hAnsi="Arial Narrow"/>
          <w:sz w:val="16"/>
          <w:szCs w:val="16"/>
          <w:lang w:val="lv-LV"/>
        </w:rPr>
        <w:t xml:space="preserve">. gada 31. decembrī Koncerns ir izpildījis visus finanšu līgumu nosacījumus. Koncerna vadība prognozē, ka Koncerns varēs pilnībā izpildīt visas finanšu līgumu nosacījumus. </w:t>
      </w:r>
    </w:p>
    <w:p w:rsidR="005807D0" w:rsidRPr="000675CC" w:rsidP="00F40697" w14:paraId="3CB16BA6" w14:textId="77777777">
      <w:pPr>
        <w:spacing w:after="0"/>
        <w:ind w:firstLine="720"/>
        <w:jc w:val="both"/>
        <w:rPr>
          <w:rFonts w:ascii="Arial Narrow" w:hAnsi="Arial Narrow"/>
          <w:sz w:val="16"/>
          <w:szCs w:val="16"/>
          <w:lang w:val="lv-LV"/>
        </w:rPr>
      </w:pPr>
    </w:p>
    <w:p w:rsidR="005807D0" w:rsidRPr="000675CC" w:rsidP="005807D0" w14:paraId="1F29830A"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2021. gada 1. martā, īstenojot publisko piedāvājumu, Koncer</w:t>
      </w:r>
      <w:r w:rsidRPr="000675CC">
        <w:rPr>
          <w:rFonts w:ascii="Arial Narrow" w:hAnsi="Arial Narrow"/>
          <w:sz w:val="16"/>
          <w:szCs w:val="16"/>
          <w:lang w:val="lv-LV"/>
        </w:rPr>
        <w:t>ns emitēja nodrošinātās korporatīvās obligācijas (LV0000802452) 30 miljonu eiro vērtībā, kuras no 2021. gada 31. marta atrodas regulētā tirgū – Nasdaq Riga Baltijas Regulētajā tirgū (31. piezīme).</w:t>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5807D0" w:rsidRPr="000675CC" w:rsidP="005807D0" w14:paraId="1694CD69"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Likviditātes risku Koncerns kontrolē, izmantojot P</w:t>
      </w:r>
      <w:r w:rsidRPr="000675CC">
        <w:rPr>
          <w:rFonts w:ascii="Arial Narrow" w:hAnsi="Arial Narrow"/>
          <w:sz w:val="16"/>
          <w:szCs w:val="16"/>
          <w:lang w:val="lv-LV"/>
        </w:rPr>
        <w:t>2P platformā Mintos un citos avotos piesaistīto finansējumu. P2P platforma Mintos nodrošina vadībai lielāku elastīgumu aizņēmumu un pieejamo naudas līdzekļu pārvaldīšanā. Neskatoties uz globālajā ekonomikā valdošo nenoteiktību, caur Mintos finansēto aizdev</w:t>
      </w:r>
      <w:r w:rsidRPr="000675CC">
        <w:rPr>
          <w:rFonts w:ascii="Arial Narrow" w:hAnsi="Arial Narrow"/>
          <w:sz w:val="16"/>
          <w:szCs w:val="16"/>
          <w:lang w:val="lv-LV"/>
        </w:rPr>
        <w:t>umu skaits ir saglabājies stabils, kas liecina, ka investori uzticas Mogo kā stabilam uzņēmumam un viņi turpina ieguldīt Mogo izsniegtajos aizdevumos. Vadība uzskata, ka pašreizējā makroekonomikas vide ir labvēlīga turpmākai finansējuma piesaistei. Plašāka</w:t>
      </w:r>
      <w:r w:rsidRPr="000675CC">
        <w:rPr>
          <w:rFonts w:ascii="Arial Narrow" w:hAnsi="Arial Narrow"/>
          <w:sz w:val="16"/>
          <w:szCs w:val="16"/>
          <w:lang w:val="lv-LV"/>
        </w:rPr>
        <w:t xml:space="preserve"> informācija par likviditātes risku ir sniegta 40. piezīmē.</w:t>
      </w:r>
    </w:p>
    <w:p w:rsidR="005807D0" w:rsidRPr="000675CC" w:rsidP="005807D0" w14:paraId="6598E027" w14:textId="77777777">
      <w:pPr>
        <w:spacing w:after="0"/>
        <w:jc w:val="both"/>
        <w:rPr>
          <w:rFonts w:ascii="Arial Narrow" w:hAnsi="Arial Narrow"/>
          <w:sz w:val="16"/>
          <w:szCs w:val="16"/>
          <w:lang w:val="lv-LV"/>
        </w:rPr>
      </w:pP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5807D0" w:rsidRPr="000675CC" w:rsidP="005807D0" w14:paraId="34DC1C0C"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 xml:space="preserve">Vadība uzskata, ka iepriekš minētie faktori un pasākumi pamato apgalvojumu, ka Koncerna rīcībā būs pietiekoši resursi, lai tā varētu turpināt darbību vēl vismaz 12 mēnešus no </w:t>
      </w:r>
      <w:r w:rsidRPr="000675CC">
        <w:rPr>
          <w:rFonts w:ascii="Arial Narrow" w:hAnsi="Arial Narrow"/>
          <w:sz w:val="16"/>
          <w:szCs w:val="16"/>
          <w:lang w:val="lv-LV"/>
        </w:rPr>
        <w:t>pārskata perioda beigu datuma un nav būtiskas nenoteiktības attiecībā uz notikumiem un apstākļiem, kuri varētu radīt būtiskas šaubas par Koncerna spēju turpināt darbību.</w:t>
      </w:r>
    </w:p>
    <w:p w:rsidR="005807D0" w:rsidRPr="000675CC" w:rsidP="005807D0" w14:paraId="7B2CD711" w14:textId="77777777">
      <w:pPr>
        <w:spacing w:after="0"/>
        <w:jc w:val="both"/>
        <w:rPr>
          <w:rFonts w:ascii="Arial Narrow" w:hAnsi="Arial Narrow"/>
          <w:sz w:val="16"/>
          <w:szCs w:val="16"/>
          <w:lang w:val="lv-LV"/>
        </w:rPr>
      </w:pPr>
      <w:r w:rsidRPr="000675CC">
        <w:rPr>
          <w:rFonts w:ascii="Arial Narrow" w:hAnsi="Arial Narrow"/>
          <w:sz w:val="16"/>
          <w:szCs w:val="16"/>
          <w:lang w:val="lv-LV"/>
        </w:rPr>
        <w:tab/>
      </w:r>
    </w:p>
    <w:p w:rsidR="003B2972" w:rsidP="005807D0" w14:paraId="3FC0EDAF" w14:textId="77777777">
      <w:pPr>
        <w:spacing w:after="0"/>
        <w:jc w:val="both"/>
        <w:rPr>
          <w:rFonts w:ascii="Arial Narrow" w:hAnsi="Arial Narrow"/>
          <w:b/>
          <w:bCs/>
          <w:i/>
          <w:iCs/>
          <w:sz w:val="16"/>
          <w:szCs w:val="16"/>
          <w:lang w:val="lv-LV"/>
        </w:rPr>
      </w:pPr>
      <w:r w:rsidRPr="000675CC">
        <w:rPr>
          <w:rFonts w:ascii="Arial Narrow" w:hAnsi="Arial Narrow"/>
          <w:b/>
          <w:bCs/>
          <w:i/>
          <w:iCs/>
          <w:sz w:val="16"/>
          <w:szCs w:val="16"/>
          <w:lang w:val="lv-LV"/>
        </w:rPr>
        <w:t xml:space="preserve">Nomas autoparka novērtējums </w:t>
      </w:r>
      <w:r w:rsidRPr="000675CC">
        <w:rPr>
          <w:rFonts w:ascii="Arial Narrow" w:hAnsi="Arial Narrow"/>
          <w:b/>
          <w:bCs/>
          <w:i/>
          <w:iCs/>
          <w:sz w:val="16"/>
          <w:szCs w:val="16"/>
          <w:lang w:val="lv-LV"/>
        </w:rPr>
        <w:tab/>
      </w:r>
    </w:p>
    <w:p w:rsidR="005807D0" w:rsidRPr="000675CC" w:rsidP="005807D0" w14:paraId="3AC7AFA7" w14:textId="58CCB176">
      <w:pPr>
        <w:spacing w:after="0"/>
        <w:jc w:val="both"/>
        <w:rPr>
          <w:rFonts w:ascii="Arial Narrow" w:hAnsi="Arial Narrow"/>
          <w:b/>
          <w:bCs/>
          <w:i/>
          <w:iCs/>
          <w:sz w:val="16"/>
          <w:szCs w:val="16"/>
          <w:lang w:val="lv-LV"/>
        </w:rPr>
      </w:pP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p>
    <w:p w:rsidR="005807D0" w:rsidRPr="000675CC" w:rsidP="005807D0" w14:paraId="19AA7DB3"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 xml:space="preserve">Katra pārskata perioda beigu datumā Koncerns novērtē, vai pastāv pazīmes tam, ka nomas autoparka paredzamā atlikusī vērtība </w:t>
      </w:r>
      <w:r w:rsidRPr="000675CC">
        <w:rPr>
          <w:rFonts w:ascii="Arial Narrow" w:hAnsi="Arial Narrow"/>
          <w:sz w:val="16"/>
          <w:szCs w:val="16"/>
          <w:lang w:val="lv-LV"/>
        </w:rPr>
        <w:t>pašreizējā nomas perioda beigās varētu nebūt atgūstama. Atlikusī vērtība ir aplēstā summa, kuru varētu saņemt, pārskata perioda beigu datumā pārdodot automašīnu, ja aktīvs jau būtu tajā vecumā un stāvoklī, kādā tas būtu brīdī, kad Koncerns ir paredzējis to</w:t>
      </w:r>
      <w:r w:rsidRPr="000675CC">
        <w:rPr>
          <w:rFonts w:ascii="Arial Narrow" w:hAnsi="Arial Narrow"/>
          <w:sz w:val="16"/>
          <w:szCs w:val="16"/>
          <w:lang w:val="lv-LV"/>
        </w:rPr>
        <w:t xml:space="preserve"> pārdot (t.i., pēc pēdējā nomas perioda beigām). Ja šādas norādes pastāv, lai noteiktu nomas autoparka aktīvu atgūstamo vērtību, atkarībā no nomas līguma statusa vadība izmanto divus vērtēšanas modeļus, kuru pamatā ir: </w:t>
      </w:r>
    </w:p>
    <w:p w:rsidR="005807D0" w:rsidRPr="000675CC" w:rsidP="005807D0" w14:paraId="3CA50250" w14:textId="77777777">
      <w:pPr>
        <w:spacing w:after="0"/>
        <w:jc w:val="both"/>
        <w:rPr>
          <w:rFonts w:ascii="Arial Narrow" w:hAnsi="Arial Narrow"/>
          <w:sz w:val="16"/>
          <w:szCs w:val="16"/>
          <w:lang w:val="lv-LV"/>
        </w:rPr>
      </w:pPr>
      <w:r w:rsidRPr="000675CC">
        <w:rPr>
          <w:rFonts w:ascii="Arial Narrow" w:hAnsi="Arial Narrow"/>
          <w:sz w:val="16"/>
          <w:szCs w:val="16"/>
          <w:lang w:val="lv-LV"/>
        </w:rPr>
        <w:t>1) lietošanas vērtība (VIU) - aktīvi</w:t>
      </w:r>
      <w:r w:rsidRPr="000675CC">
        <w:rPr>
          <w:rFonts w:ascii="Arial Narrow" w:hAnsi="Arial Narrow"/>
          <w:sz w:val="16"/>
          <w:szCs w:val="16"/>
          <w:lang w:val="lv-LV"/>
        </w:rPr>
        <w:t>em, par kuriem ir spēkā esoši nomas līgumi; un</w:t>
      </w:r>
    </w:p>
    <w:p w:rsidR="005807D0" w:rsidRPr="000675CC" w:rsidP="005807D0" w14:paraId="21567914" w14:textId="77777777">
      <w:pPr>
        <w:spacing w:after="0"/>
        <w:jc w:val="both"/>
        <w:rPr>
          <w:rFonts w:ascii="Arial Narrow" w:hAnsi="Arial Narrow"/>
          <w:sz w:val="16"/>
          <w:szCs w:val="16"/>
          <w:lang w:val="lv-LV"/>
        </w:rPr>
      </w:pPr>
      <w:r w:rsidRPr="000675CC">
        <w:rPr>
          <w:rFonts w:ascii="Arial Narrow" w:hAnsi="Arial Narrow"/>
          <w:sz w:val="16"/>
          <w:szCs w:val="16"/>
          <w:lang w:val="lv-LV"/>
        </w:rPr>
        <w:t>2) patiesā vērtība, atskaitot pārdošanas izmaksas (FVLCOD) - aktīviem, par kuriem nav spēkā esoši nomas līgumi.</w:t>
      </w:r>
    </w:p>
    <w:p w:rsidR="005807D0" w:rsidRPr="000675CC" w:rsidP="005807D0" w14:paraId="0D6FA8B8" w14:textId="77777777">
      <w:pPr>
        <w:spacing w:after="0"/>
        <w:jc w:val="both"/>
        <w:rPr>
          <w:rFonts w:ascii="Arial Narrow" w:hAnsi="Arial Narrow"/>
          <w:sz w:val="16"/>
          <w:szCs w:val="16"/>
          <w:lang w:val="lv-LV"/>
        </w:rPr>
      </w:pP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5807D0" w:rsidRPr="000675CC" w:rsidP="005807D0" w14:paraId="0FA85404"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 xml:space="preserve">Lietošanas vērtība ir to nākotnes naudas plūsmu pašreizējā vērtība, kuras ir sagaidāms </w:t>
      </w:r>
      <w:r w:rsidRPr="000675CC">
        <w:rPr>
          <w:rFonts w:ascii="Arial Narrow" w:hAnsi="Arial Narrow"/>
          <w:sz w:val="16"/>
          <w:szCs w:val="16"/>
          <w:lang w:val="lv-LV"/>
        </w:rPr>
        <w:t xml:space="preserve">iegūt no aktīva vai tā naudu ienesošās vienības, gan turpinot izmantot tos, gan  pārdodot tos.  Novērtējot lietošanas vērtību, aplēstās nākotnes naudas plūsmas tiek diskontētas līdz to pašreizējai vērtībai, izmantojot vidēji svērtā kapitāla atdeves (WACC) </w:t>
      </w:r>
      <w:r w:rsidRPr="000675CC">
        <w:rPr>
          <w:rFonts w:ascii="Arial Narrow" w:hAnsi="Arial Narrow"/>
          <w:sz w:val="16"/>
          <w:szCs w:val="16"/>
          <w:lang w:val="lv-LV"/>
        </w:rPr>
        <w:t>likmi, kas ir 13,52%. Nosakot lietošanas vērtību, naudas plūsmu prognožu pamatā Koncerns izmanto saprātīgus un pamatotus pieņēmumus, kas atspoguļo vadības labākās aplēses par  to  ekonomisko  apstākļu diapazonu, kas pastāvēs aktīva atlikušā lietderīgās lie</w:t>
      </w:r>
      <w:r w:rsidRPr="000675CC">
        <w:rPr>
          <w:rFonts w:ascii="Arial Narrow" w:hAnsi="Arial Narrow"/>
          <w:sz w:val="16"/>
          <w:szCs w:val="16"/>
          <w:lang w:val="lv-LV"/>
        </w:rPr>
        <w:t xml:space="preserve">tošanas perioda laikā, kas kopā ir 7 gadi.. </w:t>
      </w:r>
    </w:p>
    <w:p w:rsidR="005807D0" w:rsidRPr="000675CC" w:rsidP="005807D0" w14:paraId="47ABE7A2" w14:textId="77777777">
      <w:pPr>
        <w:spacing w:after="0"/>
        <w:jc w:val="both"/>
        <w:rPr>
          <w:rFonts w:ascii="Arial Narrow" w:hAnsi="Arial Narrow"/>
          <w:sz w:val="16"/>
          <w:szCs w:val="16"/>
          <w:lang w:val="lv-LV"/>
        </w:rPr>
      </w:pP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5807D0" w:rsidRPr="000675CC" w:rsidP="005807D0" w14:paraId="28E204F3"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Aktīviem, par kuriem nav noslēgti spēkā esoši nomas līgumi, nosakot automobiļu iespējamo nākotnes pielietojumu - otrreizēja noma vai pārdošana, Koncerns piemēro svērtas iespējamības scenāriju. Scenārij</w:t>
      </w:r>
      <w:r w:rsidRPr="000675CC">
        <w:rPr>
          <w:rFonts w:ascii="Arial Narrow" w:hAnsi="Arial Narrow"/>
          <w:sz w:val="16"/>
          <w:szCs w:val="16"/>
          <w:lang w:val="lv-LV"/>
        </w:rPr>
        <w:t>i attiecībā uz aktīvo nomas līgumu naudu ienesošām vienībām ir (a) nomas līgums tiks izpildīts līdz termiņa beigām, (b) klients atmaksās savas saistības pirms noteiktā termiņa, (c) nomas līgums tiks pārtraukts un automašīna tiks atgriezta Sabiedrībai, un (</w:t>
      </w:r>
      <w:r w:rsidRPr="000675CC">
        <w:rPr>
          <w:rFonts w:ascii="Arial Narrow" w:hAnsi="Arial Narrow"/>
          <w:sz w:val="16"/>
          <w:szCs w:val="16"/>
          <w:lang w:val="lv-LV"/>
        </w:rPr>
        <w:t>d) nomas līgums tiks pārtraukts un automašīna tiks zaudēta. Scenāriji attiecībā uz neaktīvo nomas līgumu naudu ienesošām vienībām ir (a) automašīna tiks izsniegta aktīva nomas līguma ietvaros, un (b) mašīna tiks norakstīta. Svērtās iespējamības scenārija i</w:t>
      </w:r>
      <w:r w:rsidRPr="000675CC">
        <w:rPr>
          <w:rFonts w:ascii="Arial Narrow" w:hAnsi="Arial Narrow"/>
          <w:sz w:val="16"/>
          <w:szCs w:val="16"/>
          <w:lang w:val="lv-LV"/>
        </w:rPr>
        <w:t>znākumu nosaka, balstoties uz Koncerna vēsturiskajiem datiem.</w:t>
      </w:r>
    </w:p>
    <w:p w:rsidR="005807D0" w:rsidRPr="000675CC" w:rsidP="005807D0" w14:paraId="2B56C4C6" w14:textId="77777777">
      <w:pPr>
        <w:spacing w:after="0"/>
        <w:ind w:firstLine="720"/>
        <w:jc w:val="both"/>
        <w:rPr>
          <w:rFonts w:ascii="Arial Narrow" w:hAnsi="Arial Narrow"/>
          <w:sz w:val="16"/>
          <w:szCs w:val="16"/>
          <w:lang w:val="lv-LV"/>
        </w:rPr>
      </w:pPr>
    </w:p>
    <w:p w:rsidR="005807D0" w:rsidRPr="000675CC" w:rsidP="00F40697" w14:paraId="795724BE" w14:textId="77777777">
      <w:pPr>
        <w:spacing w:after="0"/>
        <w:ind w:firstLine="720"/>
        <w:jc w:val="both"/>
        <w:rPr>
          <w:rFonts w:ascii="Arial Narrow" w:hAnsi="Arial Narrow"/>
          <w:sz w:val="16"/>
          <w:szCs w:val="16"/>
          <w:lang w:val="lv-LV"/>
        </w:rPr>
      </w:pPr>
    </w:p>
    <w:p w:rsidR="005807D0" w:rsidRPr="000675CC" w:rsidP="00F40697" w14:paraId="41C4DC2D" w14:textId="77777777">
      <w:pPr>
        <w:spacing w:after="0"/>
        <w:ind w:firstLine="720"/>
        <w:jc w:val="both"/>
        <w:rPr>
          <w:rFonts w:ascii="Arial Narrow" w:hAnsi="Arial Narrow"/>
          <w:sz w:val="16"/>
          <w:szCs w:val="16"/>
          <w:lang w:val="lv-LV"/>
        </w:rPr>
      </w:pPr>
    </w:p>
    <w:p w:rsidR="005807D0" w:rsidRPr="000675CC" w:rsidP="00F40697" w14:paraId="05459A99" w14:textId="2687C608">
      <w:pPr>
        <w:spacing w:after="0"/>
        <w:ind w:firstLine="720"/>
        <w:jc w:val="both"/>
        <w:rPr>
          <w:rFonts w:ascii="Arial Narrow" w:hAnsi="Arial Narrow"/>
          <w:sz w:val="16"/>
          <w:szCs w:val="16"/>
          <w:lang w:val="lv-LV"/>
        </w:rPr>
        <w:sectPr w:rsidSect="00031DD0">
          <w:headerReference w:type="even" r:id="rId156"/>
          <w:headerReference w:type="default" r:id="rId157"/>
          <w:footerReference w:type="even" r:id="rId158"/>
          <w:footerReference w:type="default" r:id="rId159"/>
          <w:headerReference w:type="first" r:id="rId160"/>
          <w:footerReference w:type="first" r:id="rId161"/>
          <w:type w:val="continuous"/>
          <w:pgSz w:w="11906" w:h="16838"/>
          <w:pgMar w:top="1440" w:right="1134" w:bottom="1440" w:left="1440" w:header="431" w:footer="431" w:gutter="0"/>
          <w:pgBorders w:zOrder="front" w:display="allPages" w:offsetFrom="text">
            <w:top w:val="nil"/>
            <w:left w:val="nil"/>
            <w:bottom w:val="nil"/>
            <w:right w:val="nil"/>
          </w:pgBorders>
          <w:cols w:space="720"/>
          <w:vAlign w:val="top"/>
          <w:titlePg w:val="0"/>
          <w:rtlGutter w:val="0"/>
          <w:docGrid w:linePitch="360"/>
        </w:sectPr>
      </w:pPr>
    </w:p>
    <w:p w:rsidR="00331FD4" w:rsidRPr="000675CC" w:rsidP="00331FD4" w14:paraId="61CBC5A6" w14:textId="4F06880C">
      <w:pPr>
        <w:spacing w:after="0"/>
        <w:jc w:val="both"/>
        <w:rPr>
          <w:rFonts w:ascii="Arial Narrow" w:hAnsi="Arial Narrow"/>
          <w:b/>
          <w:bCs/>
          <w:sz w:val="16"/>
          <w:szCs w:val="16"/>
          <w:lang w:val="lv-LV"/>
        </w:rPr>
      </w:pPr>
      <w:r w:rsidRPr="000675CC">
        <w:rPr>
          <w:rFonts w:ascii="Arial Narrow" w:hAnsi="Arial Narrow"/>
          <w:b/>
          <w:bCs/>
          <w:sz w:val="16"/>
          <w:szCs w:val="16"/>
          <w:lang w:val="lv-LV"/>
        </w:rPr>
        <w:t>3</w:t>
      </w:r>
      <w:r w:rsidRPr="000675CC">
        <w:rPr>
          <w:rFonts w:ascii="Arial Narrow" w:hAnsi="Arial Narrow"/>
          <w:b/>
          <w:bCs/>
          <w:sz w:val="16"/>
          <w:szCs w:val="16"/>
          <w:lang w:val="lv-LV"/>
        </w:rPr>
        <w:t>. Nozīmīgi grāmatvedības spriedumi, aplēses un pieņēmumi (turpinājums)</w:t>
      </w:r>
    </w:p>
    <w:p w:rsidR="00331FD4" w:rsidRPr="000675CC" w:rsidP="00331FD4" w14:paraId="616A4AD8" w14:textId="77777777">
      <w:pPr>
        <w:spacing w:after="0"/>
        <w:jc w:val="both"/>
        <w:rPr>
          <w:rFonts w:ascii="Arial Narrow" w:hAnsi="Arial Narrow"/>
          <w:b/>
          <w:bCs/>
          <w:sz w:val="16"/>
          <w:szCs w:val="16"/>
          <w:lang w:val="lv-LV"/>
        </w:rPr>
      </w:pPr>
      <w:r w:rsidRPr="000675CC">
        <w:rPr>
          <w:rFonts w:ascii="Arial Narrow" w:hAnsi="Arial Narrow"/>
          <w:b/>
          <w:bCs/>
          <w:sz w:val="16"/>
          <w:szCs w:val="16"/>
          <w:lang w:val="lv-LV"/>
        </w:rPr>
        <w:tab/>
      </w:r>
      <w:r w:rsidRPr="000675CC">
        <w:rPr>
          <w:rFonts w:ascii="Arial Narrow" w:hAnsi="Arial Narrow"/>
          <w:b/>
          <w:bCs/>
          <w:sz w:val="16"/>
          <w:szCs w:val="16"/>
          <w:lang w:val="lv-LV"/>
        </w:rPr>
        <w:tab/>
      </w:r>
      <w:r w:rsidRPr="000675CC">
        <w:rPr>
          <w:rFonts w:ascii="Arial Narrow" w:hAnsi="Arial Narrow"/>
          <w:b/>
          <w:bCs/>
          <w:sz w:val="16"/>
          <w:szCs w:val="16"/>
          <w:lang w:val="lv-LV"/>
        </w:rPr>
        <w:tab/>
      </w:r>
      <w:r w:rsidRPr="000675CC">
        <w:rPr>
          <w:rFonts w:ascii="Arial Narrow" w:hAnsi="Arial Narrow"/>
          <w:b/>
          <w:bCs/>
          <w:sz w:val="16"/>
          <w:szCs w:val="16"/>
          <w:lang w:val="lv-LV"/>
        </w:rPr>
        <w:tab/>
      </w:r>
      <w:r w:rsidRPr="000675CC">
        <w:rPr>
          <w:rFonts w:ascii="Arial Narrow" w:hAnsi="Arial Narrow"/>
          <w:b/>
          <w:bCs/>
          <w:sz w:val="16"/>
          <w:szCs w:val="16"/>
          <w:lang w:val="lv-LV"/>
        </w:rPr>
        <w:tab/>
      </w:r>
      <w:r w:rsidRPr="000675CC">
        <w:rPr>
          <w:rFonts w:ascii="Arial Narrow" w:hAnsi="Arial Narrow"/>
          <w:b/>
          <w:bCs/>
          <w:sz w:val="16"/>
          <w:szCs w:val="16"/>
          <w:lang w:val="lv-LV"/>
        </w:rPr>
        <w:tab/>
      </w:r>
      <w:r w:rsidRPr="000675CC">
        <w:rPr>
          <w:rFonts w:ascii="Arial Narrow" w:hAnsi="Arial Narrow"/>
          <w:b/>
          <w:bCs/>
          <w:sz w:val="16"/>
          <w:szCs w:val="16"/>
          <w:lang w:val="lv-LV"/>
        </w:rPr>
        <w:tab/>
      </w:r>
      <w:r w:rsidRPr="000675CC">
        <w:rPr>
          <w:rFonts w:ascii="Arial Narrow" w:hAnsi="Arial Narrow"/>
          <w:b/>
          <w:bCs/>
          <w:sz w:val="16"/>
          <w:szCs w:val="16"/>
          <w:lang w:val="lv-LV"/>
        </w:rPr>
        <w:tab/>
      </w:r>
      <w:r w:rsidRPr="000675CC">
        <w:rPr>
          <w:rFonts w:ascii="Arial Narrow" w:hAnsi="Arial Narrow"/>
          <w:b/>
          <w:bCs/>
          <w:sz w:val="16"/>
          <w:szCs w:val="16"/>
          <w:lang w:val="lv-LV"/>
        </w:rPr>
        <w:tab/>
      </w:r>
    </w:p>
    <w:p w:rsidR="00331FD4" w:rsidRPr="000675CC" w:rsidP="00331FD4" w14:paraId="45C61CA1" w14:textId="77777777">
      <w:pPr>
        <w:spacing w:after="0"/>
        <w:jc w:val="both"/>
        <w:rPr>
          <w:rFonts w:ascii="Arial Narrow" w:hAnsi="Arial Narrow"/>
          <w:sz w:val="16"/>
          <w:szCs w:val="16"/>
          <w:lang w:val="lv-LV"/>
        </w:rPr>
      </w:pPr>
      <w:r w:rsidRPr="000675CC">
        <w:rPr>
          <w:rFonts w:ascii="Arial Narrow" w:hAnsi="Arial Narrow"/>
          <w:b/>
          <w:bCs/>
          <w:sz w:val="16"/>
          <w:szCs w:val="16"/>
          <w:lang w:val="lv-LV"/>
        </w:rPr>
        <w:t>Darbības turpināšana (turpinājums)</w:t>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331FD4" w:rsidRPr="000675CC" w:rsidP="00331FD4" w14:paraId="2E4903E1" w14:textId="77777777">
      <w:pPr>
        <w:spacing w:after="0"/>
        <w:jc w:val="both"/>
        <w:rPr>
          <w:rFonts w:ascii="Arial Narrow" w:hAnsi="Arial Narrow"/>
          <w:i/>
          <w:iCs/>
          <w:sz w:val="16"/>
          <w:szCs w:val="16"/>
          <w:lang w:val="lv-LV"/>
        </w:rPr>
      </w:pP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p>
    <w:p w:rsidR="00331FD4" w:rsidRPr="000675CC" w:rsidP="00331FD4" w14:paraId="4226940C" w14:textId="4065D39E">
      <w:pPr>
        <w:spacing w:after="0"/>
        <w:jc w:val="both"/>
        <w:rPr>
          <w:rFonts w:ascii="Arial Narrow" w:hAnsi="Arial Narrow"/>
          <w:b/>
          <w:bCs/>
          <w:i/>
          <w:iCs/>
          <w:sz w:val="16"/>
          <w:szCs w:val="16"/>
          <w:lang w:val="lv-LV"/>
        </w:rPr>
      </w:pPr>
      <w:r w:rsidRPr="000675CC">
        <w:rPr>
          <w:rFonts w:ascii="Arial Narrow" w:hAnsi="Arial Narrow"/>
          <w:b/>
          <w:bCs/>
          <w:i/>
          <w:iCs/>
          <w:sz w:val="16"/>
          <w:szCs w:val="16"/>
          <w:lang w:val="lv-LV"/>
        </w:rPr>
        <w:t xml:space="preserve">Nomas autoparka </w:t>
      </w:r>
      <w:r w:rsidRPr="000675CC">
        <w:rPr>
          <w:rFonts w:ascii="Arial Narrow" w:hAnsi="Arial Narrow"/>
          <w:b/>
          <w:bCs/>
          <w:i/>
          <w:iCs/>
          <w:sz w:val="16"/>
          <w:szCs w:val="16"/>
          <w:lang w:val="lv-LV"/>
        </w:rPr>
        <w:t>novērtējums</w:t>
      </w:r>
      <w:r w:rsidRPr="000675CC" w:rsidR="005807D0">
        <w:rPr>
          <w:rFonts w:ascii="Arial Narrow" w:hAnsi="Arial Narrow"/>
          <w:b/>
          <w:bCs/>
          <w:i/>
          <w:iCs/>
          <w:sz w:val="16"/>
          <w:szCs w:val="16"/>
          <w:lang w:val="lv-LV"/>
        </w:rPr>
        <w:t xml:space="preserve"> (turpinājums)</w:t>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p>
    <w:p w:rsidR="00331FD4" w:rsidRPr="000675CC" w:rsidP="00331FD4" w14:paraId="3C7B21D3" w14:textId="57853A54">
      <w:pPr>
        <w:spacing w:after="0"/>
        <w:jc w:val="both"/>
        <w:rPr>
          <w:rFonts w:ascii="Arial Narrow" w:hAnsi="Arial Narrow"/>
          <w:sz w:val="16"/>
          <w:szCs w:val="16"/>
          <w:lang w:val="lv-LV"/>
        </w:rPr>
      </w:pP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331FD4" w:rsidRPr="000675CC" w:rsidP="0030301A" w14:paraId="040D6C2A" w14:textId="78533E52">
      <w:pPr>
        <w:spacing w:after="0"/>
        <w:ind w:firstLine="720"/>
        <w:jc w:val="both"/>
        <w:rPr>
          <w:rFonts w:ascii="Arial Narrow" w:hAnsi="Arial Narrow"/>
          <w:sz w:val="16"/>
          <w:szCs w:val="16"/>
          <w:lang w:val="lv-LV"/>
        </w:rPr>
      </w:pPr>
      <w:r w:rsidRPr="000675CC">
        <w:rPr>
          <w:rFonts w:ascii="Arial Narrow" w:hAnsi="Arial Narrow"/>
          <w:sz w:val="16"/>
          <w:szCs w:val="16"/>
          <w:lang w:val="lv-LV"/>
        </w:rPr>
        <w:t>Saskaņā ar vadības izvērtējumu lietošanas vērtības (VUI) metode  tiek piemērota gadījumos, kad nomas aktīvu uzskaites</w:t>
      </w:r>
      <w:r w:rsidRPr="000675CC">
        <w:rPr>
          <w:rFonts w:ascii="Arial Narrow" w:hAnsi="Arial Narrow"/>
          <w:sz w:val="16"/>
          <w:szCs w:val="16"/>
          <w:lang w:val="lv-LV"/>
        </w:rPr>
        <w:t xml:space="preserve"> vērtību ir paredzams atgūt, turpinot aktīvu izmantot, nevis pārdodot  to. Aktīviem, kuru uzskaites vērtību ir paredzams atgūt galvenokārt aktīvu pārdodot, atgūstamo vērtību Koncerns nosaka, izmantojot FVLCOD metodi. Pieņēmumi, kas ir piemēroti aktīvu FVLC</w:t>
      </w:r>
      <w:r w:rsidRPr="000675CC">
        <w:rPr>
          <w:rFonts w:ascii="Arial Narrow" w:hAnsi="Arial Narrow"/>
          <w:sz w:val="16"/>
          <w:szCs w:val="16"/>
          <w:lang w:val="lv-LV"/>
        </w:rPr>
        <w:t xml:space="preserve">OD noteikšanā, ir balstīti uz ticami aplēstu pārdošanas cenu aktīva pārdošanas darījumā, kas novērtēšanas datumā notiktu tirgus dalībnieku starpā tirgū pastāvošajos apstākļos, un uz datiem, kas pieejami par vēsturiskiem pārdošanas darījumiem. Papildus tam </w:t>
      </w:r>
      <w:r w:rsidRPr="000675CC">
        <w:rPr>
          <w:rFonts w:ascii="Arial Narrow" w:hAnsi="Arial Narrow"/>
          <w:sz w:val="16"/>
          <w:szCs w:val="16"/>
          <w:lang w:val="lv-LV"/>
        </w:rPr>
        <w:t>vadība izvērtē, vai pēc pārskata perioda beigu datuma nav notikuši tādi notikumi, kuru ietekmē varētu  samazināties šādu aktīvu pārdošanas cena. Pārdošanas izmaksas ir papildu izmaksas, kas ir tieši saistāmas ar aktīva vai naudu ienesošās vienības pārdošan</w:t>
      </w:r>
      <w:r w:rsidRPr="000675CC">
        <w:rPr>
          <w:rFonts w:ascii="Arial Narrow" w:hAnsi="Arial Narrow"/>
          <w:sz w:val="16"/>
          <w:szCs w:val="16"/>
          <w:lang w:val="lv-LV"/>
        </w:rPr>
        <w:t>u, atskaitot finanšu izmaksas un ienākuma nodokli.</w:t>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p>
    <w:p w:rsidR="00331FD4" w:rsidRPr="000675CC" w:rsidP="0030301A" w14:paraId="14EAC74B" w14:textId="4DE739AB">
      <w:pPr>
        <w:spacing w:after="0"/>
        <w:ind w:firstLine="720"/>
        <w:jc w:val="both"/>
        <w:rPr>
          <w:rFonts w:ascii="Arial Narrow" w:hAnsi="Arial Narrow"/>
          <w:sz w:val="16"/>
          <w:szCs w:val="16"/>
          <w:lang w:val="lv-LV"/>
        </w:rPr>
      </w:pPr>
      <w:r w:rsidRPr="000675CC">
        <w:rPr>
          <w:rFonts w:ascii="Arial Narrow" w:hAnsi="Arial Narrow"/>
          <w:sz w:val="16"/>
          <w:szCs w:val="16"/>
          <w:lang w:val="lv-LV"/>
        </w:rPr>
        <w:t>Katrā pārskata perioda beigu datumā tiek veikts izvērtējums par to, vai nepastāv pazīmes, ka iepriekš atzīts aktīvu vērtības samazinājums vairs nepastāv vai tā summa ir samazinājusies. Ja šādas pazīmes pastāv, Koncerns aplēš aktīva vai naudu ienesošās vien</w:t>
      </w:r>
      <w:r w:rsidRPr="000675CC">
        <w:rPr>
          <w:rFonts w:ascii="Arial Narrow" w:hAnsi="Arial Narrow"/>
          <w:sz w:val="16"/>
          <w:szCs w:val="16"/>
          <w:lang w:val="lv-LV"/>
        </w:rPr>
        <w:t>ības atgūstamo vērtību. Iepriekš atzītus zaudējumus no vērtības samazinājuma atceļ tikai tad, ja kopš brīža, kad tika atzīti pēdējie zaudējumi no vērtības samazinājuma, ir mainījušies pieņēmumi, kas izmantoti aktīva atgūstamās vērtības noteikšanā. Zaudējum</w:t>
      </w:r>
      <w:r w:rsidRPr="000675CC">
        <w:rPr>
          <w:rFonts w:ascii="Arial Narrow" w:hAnsi="Arial Narrow"/>
          <w:sz w:val="16"/>
          <w:szCs w:val="16"/>
          <w:lang w:val="lv-LV"/>
        </w:rPr>
        <w:t>u summu atceļ tikai tādā apmērā, lai aktīva uzskaites vērtība nepārsniegtu tā atgūstamo vērtību, kā arī uzskaites vērtību, kas tiktu noteikta, atskaitot nolietojumu, ja konkrētajam aktīvam iepriekšējos gados netiktu atzīti zaudējumi no vērtības samazinājum</w:t>
      </w:r>
      <w:r w:rsidRPr="000675CC">
        <w:rPr>
          <w:rFonts w:ascii="Arial Narrow" w:hAnsi="Arial Narrow"/>
          <w:sz w:val="16"/>
          <w:szCs w:val="16"/>
          <w:lang w:val="lv-LV"/>
        </w:rPr>
        <w:t>a. Atcelto zaudējumu summu atzīst apvienotajā ienākumu pārskatā, izņemot gadījumus, kad aktīvs ir uzrādīts pārvērtētā vērtībā, tad par atcelto summu palielina pārvērtēšanas rezervi. 2021. gada 31. decembrī un 2020. gada 31. decembrī Koncerns ir atzinis nom</w:t>
      </w:r>
      <w:r w:rsidRPr="000675CC">
        <w:rPr>
          <w:rFonts w:ascii="Arial Narrow" w:hAnsi="Arial Narrow"/>
          <w:sz w:val="16"/>
          <w:szCs w:val="16"/>
          <w:lang w:val="lv-LV"/>
        </w:rPr>
        <w:t>as autoparka vērtības samazinājumu, skat. 17. piezīmi. Nomas autoparka atlikušās vērtības nomas termiņa beigās jūtīguma analīze ir sniegta 17. piezīmē.</w:t>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5807D0" w:rsidRPr="000675CC" w:rsidP="00331FD4" w14:paraId="1F7A79BA" w14:textId="77777777">
      <w:pPr>
        <w:spacing w:after="0"/>
        <w:jc w:val="both"/>
        <w:rPr>
          <w:rFonts w:ascii="Arial Narrow" w:hAnsi="Arial Narrow"/>
          <w:b/>
          <w:bCs/>
          <w:i/>
          <w:iCs/>
          <w:sz w:val="16"/>
          <w:szCs w:val="16"/>
          <w:lang w:val="lv-LV"/>
        </w:rPr>
      </w:pPr>
      <w:r w:rsidRPr="000675CC">
        <w:rPr>
          <w:rFonts w:ascii="Arial Narrow" w:hAnsi="Arial Narrow"/>
          <w:b/>
          <w:bCs/>
          <w:i/>
          <w:iCs/>
          <w:sz w:val="16"/>
          <w:szCs w:val="16"/>
          <w:lang w:val="lv-LV"/>
        </w:rPr>
        <w:t xml:space="preserve">Finanšu aktīvu vērtības samazinājums </w:t>
      </w:r>
      <w:r w:rsidRPr="000675CC">
        <w:rPr>
          <w:rFonts w:ascii="Arial Narrow" w:hAnsi="Arial Narrow"/>
          <w:b/>
          <w:bCs/>
          <w:i/>
          <w:iCs/>
          <w:sz w:val="16"/>
          <w:szCs w:val="16"/>
          <w:lang w:val="lv-LV"/>
        </w:rPr>
        <w:tab/>
      </w:r>
    </w:p>
    <w:p w:rsidR="00331FD4" w:rsidRPr="000675CC" w:rsidP="00331FD4" w14:paraId="0DEC48D6" w14:textId="7B62FC6A">
      <w:pPr>
        <w:spacing w:after="0"/>
        <w:jc w:val="both"/>
        <w:rPr>
          <w:rFonts w:ascii="Arial Narrow" w:hAnsi="Arial Narrow"/>
          <w:b/>
          <w:bCs/>
          <w:i/>
          <w:iCs/>
          <w:sz w:val="16"/>
          <w:szCs w:val="16"/>
          <w:lang w:val="lv-LV"/>
        </w:rPr>
      </w:pP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p>
    <w:p w:rsidR="00331FD4" w:rsidRPr="000675CC" w:rsidP="0030301A" w14:paraId="4B90D7E7" w14:textId="0347F64A">
      <w:pPr>
        <w:spacing w:after="0"/>
        <w:ind w:firstLine="720"/>
        <w:jc w:val="both"/>
        <w:rPr>
          <w:rFonts w:ascii="Arial Narrow" w:hAnsi="Arial Narrow"/>
          <w:sz w:val="16"/>
          <w:szCs w:val="16"/>
          <w:lang w:val="lv-LV"/>
        </w:rPr>
      </w:pPr>
      <w:r w:rsidRPr="000675CC">
        <w:rPr>
          <w:rFonts w:ascii="Arial Narrow" w:hAnsi="Arial Narrow"/>
          <w:sz w:val="16"/>
          <w:szCs w:val="16"/>
          <w:lang w:val="lv-LV"/>
        </w:rPr>
        <w:t>Lai saskaņā ar 9. SFPS aprēķinātu zaudējumus no</w:t>
      </w:r>
      <w:r w:rsidRPr="000675CC">
        <w:rPr>
          <w:rFonts w:ascii="Arial Narrow" w:hAnsi="Arial Narrow"/>
          <w:sz w:val="16"/>
          <w:szCs w:val="16"/>
          <w:lang w:val="lv-LV"/>
        </w:rPr>
        <w:t xml:space="preserve"> vērtības samazināšanās visām finanšu aktīvu kategorijām, ir nepieciešams spriedums, it īpaši par nākotnes naudas plūsmu apjomu un  laiku, kā arī par ķīlu vērtību, nosakot zaudējumus no vērtības samazināšanās un novērtējot kredītriska būtisku pieaugumu. Šī</w:t>
      </w:r>
      <w:r w:rsidRPr="000675CC">
        <w:rPr>
          <w:rFonts w:ascii="Arial Narrow" w:hAnsi="Arial Narrow"/>
          <w:sz w:val="16"/>
          <w:szCs w:val="16"/>
          <w:lang w:val="lv-LV"/>
        </w:rPr>
        <w:t>s aplēses balstās uz vairākiem faktoriem, kuru izmaiņas var  izraisīt dažādu līmeņu uzkrājumus. Koncerna ECL aprēķini izriet no sarežģītiem modeļiem ar vairākiem pamatā esošiem pieņēmumiem attiecībā uz mainīgo lielumu izvēli un to savstarpējo atkarību. ECL</w:t>
      </w:r>
      <w:r w:rsidRPr="000675CC">
        <w:rPr>
          <w:rFonts w:ascii="Arial Narrow" w:hAnsi="Arial Narrow"/>
          <w:sz w:val="16"/>
          <w:szCs w:val="16"/>
          <w:lang w:val="lv-LV"/>
        </w:rPr>
        <w:t xml:space="preserve"> modeļu elementi, kas tiek uzskatīti par grāmatvedības spriedumiem un aplēsēm, ietver saistību neizpildi un zaudējumus saistību neizpildes gadījumā, spriedums tiek piemērots arī, nosakot būtisku kredītriska pieaugumu.</w:t>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p>
    <w:p w:rsidR="00331FD4" w:rsidRPr="000675CC" w:rsidP="00331FD4" w14:paraId="0EB78858" w14:textId="77777777">
      <w:pPr>
        <w:spacing w:after="0"/>
        <w:jc w:val="both"/>
        <w:rPr>
          <w:rFonts w:ascii="Arial Narrow" w:hAnsi="Arial Narrow"/>
          <w:i/>
          <w:iCs/>
          <w:sz w:val="16"/>
          <w:szCs w:val="16"/>
          <w:lang w:val="lv-LV"/>
        </w:rPr>
      </w:pPr>
      <w:r w:rsidRPr="000675CC">
        <w:rPr>
          <w:rFonts w:ascii="Arial Narrow" w:hAnsi="Arial Narrow"/>
          <w:i/>
          <w:iCs/>
          <w:sz w:val="16"/>
          <w:szCs w:val="16"/>
          <w:lang w:val="lv-LV"/>
        </w:rPr>
        <w:t>Saistību neizpildes varbūtība</w:t>
      </w:r>
      <w:r w:rsidRPr="000675CC">
        <w:rPr>
          <w:rFonts w:ascii="Arial Narrow" w:hAnsi="Arial Narrow"/>
          <w:i/>
          <w:iCs/>
          <w:sz w:val="16"/>
          <w:szCs w:val="16"/>
          <w:lang w:val="lv-LV"/>
        </w:rPr>
        <w:t xml:space="preserve"> (SNV)</w:t>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p>
    <w:p w:rsidR="007410C9" w:rsidRPr="000675CC" w:rsidP="0030301A" w14:paraId="5754CA78"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Saistību neizpildes varbūtība atspoguļo aplēsto iespējamību, ka noteiktā nākotnes periodā radīsies saistību neizpilde, kas ir definēta kā: 61 DPD.</w:t>
      </w:r>
    </w:p>
    <w:p w:rsidR="007410C9" w:rsidRPr="000675CC" w:rsidP="007410C9" w14:paraId="6AE8363B" w14:textId="77777777">
      <w:pPr>
        <w:spacing w:after="0"/>
        <w:jc w:val="both"/>
        <w:rPr>
          <w:rFonts w:ascii="Arial Narrow" w:hAnsi="Arial Narrow"/>
          <w:sz w:val="16"/>
          <w:szCs w:val="16"/>
          <w:lang w:val="lv-LV"/>
        </w:rPr>
      </w:pPr>
      <w:r w:rsidRPr="000675CC">
        <w:rPr>
          <w:rFonts w:ascii="Arial Narrow" w:hAnsi="Arial Narrow"/>
          <w:sz w:val="16"/>
          <w:szCs w:val="16"/>
          <w:lang w:val="lv-LV"/>
        </w:rPr>
        <w:t>PD rādītāja aplēšanai Koncerns izmanto Markova ķēdes metodoloģiju. Šajā metodoloģijā tiek izm</w:t>
      </w:r>
      <w:r w:rsidRPr="000675CC">
        <w:rPr>
          <w:rFonts w:ascii="Arial Narrow" w:hAnsi="Arial Narrow"/>
          <w:sz w:val="16"/>
          <w:szCs w:val="16"/>
          <w:lang w:val="lv-LV"/>
        </w:rPr>
        <w:t>antota vēsturisko datu un kavēto dienu un saistību neizpildes statistiskā analīze, lai novērtētu aizdevumus, kas beigās tiks norakstīti.</w:t>
      </w:r>
    </w:p>
    <w:p w:rsidR="007410C9" w:rsidRPr="000675CC" w:rsidP="007410C9" w14:paraId="07C2C545" w14:textId="77777777">
      <w:pPr>
        <w:spacing w:after="0"/>
        <w:jc w:val="both"/>
        <w:rPr>
          <w:rFonts w:ascii="Arial Narrow" w:hAnsi="Arial Narrow"/>
          <w:sz w:val="16"/>
          <w:szCs w:val="16"/>
          <w:lang w:val="lv-LV"/>
        </w:rPr>
      </w:pPr>
      <w:r w:rsidRPr="000675CC">
        <w:rPr>
          <w:rFonts w:ascii="Arial Narrow" w:hAnsi="Arial Narrow"/>
          <w:sz w:val="16"/>
          <w:szCs w:val="16"/>
          <w:lang w:val="lv-LV"/>
        </w:rPr>
        <w:t>Koncerns izmanto 12 mēnešu pastāvīgu horizonta logu (vai mazāku termiņu, ja produkta dzīves cikls ir īsāks par 12 mēneš</w:t>
      </w:r>
      <w:r w:rsidRPr="000675CC">
        <w:rPr>
          <w:rFonts w:ascii="Arial Narrow" w:hAnsi="Arial Narrow"/>
          <w:sz w:val="16"/>
          <w:szCs w:val="16"/>
          <w:lang w:val="lv-LV"/>
        </w:rPr>
        <w:t>iem vai vēsturiskie dati ir pieejami par īsāku periodu) un par n-to pakāpi 12 mēnešu matricā tika noteiktas aplēses dzīvescikla laikā (n ir atkarīgs no aplēstā dzīvescikla, piem., ja tas ir 36 mēneši, tad n=3).</w:t>
      </w:r>
    </w:p>
    <w:p w:rsidR="007410C9" w:rsidRPr="000675CC" w:rsidP="007410C9" w14:paraId="3BB33CAB" w14:textId="77777777">
      <w:pPr>
        <w:spacing w:after="0"/>
        <w:jc w:val="both"/>
        <w:rPr>
          <w:rFonts w:ascii="Arial Narrow" w:hAnsi="Arial Narrow"/>
          <w:sz w:val="16"/>
          <w:szCs w:val="16"/>
          <w:lang w:val="lv-LV"/>
        </w:rPr>
      </w:pPr>
    </w:p>
    <w:p w:rsidR="00331FD4" w:rsidRPr="000675CC" w:rsidP="007410C9" w14:paraId="502A3CCA" w14:textId="56169732">
      <w:pPr>
        <w:spacing w:after="0"/>
        <w:jc w:val="both"/>
        <w:rPr>
          <w:rFonts w:ascii="Arial Narrow" w:hAnsi="Arial Narrow"/>
          <w:i/>
          <w:iCs/>
          <w:sz w:val="16"/>
          <w:szCs w:val="16"/>
          <w:lang w:val="lv-LV"/>
        </w:rPr>
      </w:pPr>
      <w:r w:rsidRPr="000675CC">
        <w:rPr>
          <w:rFonts w:ascii="Arial Narrow" w:hAnsi="Arial Narrow"/>
          <w:i/>
          <w:iCs/>
          <w:sz w:val="16"/>
          <w:szCs w:val="16"/>
          <w:lang w:val="lv-LV"/>
        </w:rPr>
        <w:t>Riska darījumi tiek sagrupēti pēc nokavēto d</w:t>
      </w:r>
      <w:r w:rsidRPr="000675CC">
        <w:rPr>
          <w:rFonts w:ascii="Arial Narrow" w:hAnsi="Arial Narrow"/>
          <w:i/>
          <w:iCs/>
          <w:sz w:val="16"/>
          <w:szCs w:val="16"/>
          <w:lang w:val="lv-LV"/>
        </w:rPr>
        <w:t>ienu (DPD) kredītiem / nomām.</w:t>
      </w:r>
    </w:p>
    <w:p w:rsidR="00F23B6A" w:rsidRPr="000675CC" w:rsidP="00D4596E" w14:paraId="2561F76A"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Koncerns izmanto 6 mēnešu (pastāvīgs horizonts) pārejas logu un par n-to pakāpi 6 mēnešu matricā tika noteiktas aplēses dzīvescikla laikā. Ar šo pieeju ievērojami uzlabojās PD aprēķinu konsekvence, t.i., tika ņemta vērā 6 mēne</w:t>
      </w:r>
      <w:r w:rsidRPr="000675CC">
        <w:rPr>
          <w:rFonts w:ascii="Arial Narrow" w:hAnsi="Arial Narrow"/>
          <w:sz w:val="16"/>
          <w:szCs w:val="16"/>
          <w:lang w:val="lv-LV"/>
        </w:rPr>
        <w:t xml:space="preserve">šu sezonalitātes ietekme un izlīdzināta mainīgā ietekme, ko rada regulārās izmaiņas biznesa procesos.Aprēķini tiek piemēroti produktu līmenī (līzings un nodrošinātie kredīti pret nenodrošinātiem kredītiem). Riska darījumi tiek sagrupēti pēc nokavēto dienu </w:t>
      </w:r>
      <w:r w:rsidRPr="000675CC">
        <w:rPr>
          <w:rFonts w:ascii="Arial Narrow" w:hAnsi="Arial Narrow"/>
          <w:sz w:val="16"/>
          <w:szCs w:val="16"/>
          <w:lang w:val="lv-LV"/>
        </w:rPr>
        <w:t>(DPD) kredītiem / nomām</w:t>
      </w:r>
      <w:r w:rsidRPr="000675CC" w:rsidR="005807D0">
        <w:rPr>
          <w:rFonts w:ascii="Arial Narrow" w:hAnsi="Arial Narrow"/>
          <w:sz w:val="16"/>
          <w:szCs w:val="16"/>
          <w:lang w:val="lv-LV"/>
        </w:rPr>
        <w:t>.</w:t>
      </w:r>
    </w:p>
    <w:p w:rsidR="005807D0" w:rsidRPr="000675CC" w:rsidP="005807D0" w14:paraId="08DDE687" w14:textId="77777777">
      <w:pPr>
        <w:spacing w:after="0"/>
        <w:jc w:val="both"/>
        <w:rPr>
          <w:rFonts w:ascii="Arial Narrow" w:hAnsi="Arial Narrow"/>
          <w:i/>
          <w:iCs/>
          <w:sz w:val="16"/>
          <w:szCs w:val="16"/>
          <w:lang w:val="lv-LV"/>
        </w:rPr>
      </w:pPr>
      <w:r w:rsidRPr="000675CC">
        <w:rPr>
          <w:rFonts w:ascii="Arial Narrow" w:hAnsi="Arial Narrow"/>
          <w:i/>
          <w:iCs/>
          <w:sz w:val="16"/>
          <w:szCs w:val="16"/>
          <w:lang w:val="lv-LV"/>
        </w:rPr>
        <w:t>Uz nākotni vērsto makroekonomikas rādītāju modelis portfeļa vērtības samazinājuma novērtējumam</w:t>
      </w:r>
    </w:p>
    <w:p w:rsidR="005807D0" w:rsidRPr="000675CC" w:rsidP="005807D0" w14:paraId="43E184D6"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 xml:space="preserve">Saskaņā ar SFPS Nr. 9 prasībām Koncerns izvērtē uz nākotni vērstu informāciju un iestrādā to vērtības samazinājuma modelī. </w:t>
      </w:r>
      <w:r w:rsidRPr="000675CC">
        <w:rPr>
          <w:rFonts w:ascii="Arial Narrow" w:hAnsi="Arial Narrow"/>
          <w:sz w:val="16"/>
          <w:szCs w:val="16"/>
          <w:lang w:val="lv-LV"/>
        </w:rPr>
        <w:t>Vērtības samazinājuma izmaiņas tiek modelētas, ņemot vērā nākotnē sagaidāmās izmaiņas makroekonomikas faktoros. 2021. gadā Koncerns mainīja modeli no Bayes hierarhijas modeļa uz vienkāršotu pieeju, pamatojoties uz attiecību analīzi starp izmaiņām ievades m</w:t>
      </w:r>
      <w:r w:rsidRPr="000675CC">
        <w:rPr>
          <w:rFonts w:ascii="Arial Narrow" w:hAnsi="Arial Narrow"/>
          <w:sz w:val="16"/>
          <w:szCs w:val="16"/>
          <w:lang w:val="lv-LV"/>
        </w:rPr>
        <w:t>ainīgajos un izmaiņām PD rādītājā. Jaunā makro modeļa apraksts ir sniegts turpmāk.</w:t>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5807D0" w:rsidRPr="000675CC" w:rsidP="005807D0" w14:paraId="3DB1DDA2" w14:textId="77777777">
      <w:pPr>
        <w:spacing w:after="0"/>
        <w:jc w:val="both"/>
        <w:rPr>
          <w:rFonts w:ascii="Arial Narrow" w:hAnsi="Arial Narrow"/>
          <w:i/>
          <w:iCs/>
          <w:sz w:val="16"/>
          <w:szCs w:val="16"/>
          <w:lang w:val="lv-LV"/>
        </w:rPr>
      </w:pPr>
      <w:r w:rsidRPr="000675CC">
        <w:rPr>
          <w:rFonts w:ascii="Arial Narrow" w:hAnsi="Arial Narrow"/>
          <w:i/>
          <w:iCs/>
          <w:sz w:val="16"/>
          <w:szCs w:val="16"/>
          <w:lang w:val="lv-LV"/>
        </w:rPr>
        <w:t xml:space="preserve">Makro modelī ir izmantotas sagaidāmās izmaiņas makroekonomikas rādītājos gadu pret gadu un pieņemts, ka izmaiņas 1. stadijas PD ir tādas pašas vai līdzīgas. </w:t>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p>
    <w:p w:rsidR="005807D0" w:rsidRPr="000675CC" w:rsidP="005807D0" w14:paraId="6B906C29" w14:textId="77777777">
      <w:pPr>
        <w:spacing w:after="0"/>
        <w:jc w:val="both"/>
        <w:rPr>
          <w:rFonts w:ascii="Arial Narrow" w:hAnsi="Arial Narrow"/>
          <w:sz w:val="16"/>
          <w:szCs w:val="16"/>
          <w:lang w:val="lv-LV"/>
        </w:rPr>
      </w:pPr>
      <w:r w:rsidRPr="000675CC">
        <w:rPr>
          <w:rFonts w:ascii="Arial Narrow" w:hAnsi="Arial Narrow"/>
          <w:sz w:val="16"/>
          <w:szCs w:val="16"/>
          <w:lang w:val="lv-LV"/>
        </w:rPr>
        <w:t>Ir izmantoti šādi mainīgie:</w:t>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5807D0" w:rsidRPr="000675CC" w:rsidP="005807D0" w14:paraId="1E9258B5" w14:textId="77777777">
      <w:pPr>
        <w:spacing w:after="0"/>
        <w:jc w:val="both"/>
        <w:rPr>
          <w:rFonts w:ascii="Arial Narrow" w:hAnsi="Arial Narrow"/>
          <w:sz w:val="16"/>
          <w:szCs w:val="16"/>
          <w:lang w:val="lv-LV"/>
        </w:rPr>
      </w:pPr>
      <w:r w:rsidRPr="000675CC">
        <w:rPr>
          <w:rFonts w:ascii="Arial Narrow" w:hAnsi="Arial Narrow"/>
          <w:sz w:val="16"/>
          <w:szCs w:val="16"/>
          <w:lang w:val="lv-LV"/>
        </w:rPr>
        <w:t>1. IKP pieaugums (GDP)</w:t>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5807D0" w:rsidRPr="000675CC" w:rsidP="005807D0" w14:paraId="6F61DC50" w14:textId="77777777">
      <w:pPr>
        <w:spacing w:after="0"/>
        <w:jc w:val="both"/>
        <w:rPr>
          <w:rFonts w:ascii="Arial Narrow" w:hAnsi="Arial Narrow"/>
          <w:sz w:val="16"/>
          <w:szCs w:val="16"/>
          <w:lang w:val="lv-LV"/>
        </w:rPr>
      </w:pPr>
      <w:r w:rsidRPr="000675CC">
        <w:rPr>
          <w:rFonts w:ascii="Arial Narrow" w:hAnsi="Arial Narrow"/>
          <w:sz w:val="16"/>
          <w:szCs w:val="16"/>
          <w:lang w:val="lv-LV"/>
        </w:rPr>
        <w:t>2. Bezdarba līmeņa izmaiņas (UR)</w:t>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5807D0" w:rsidRPr="000675CC" w:rsidP="005807D0" w14:paraId="184DCA9F" w14:textId="77777777">
      <w:pPr>
        <w:spacing w:after="0"/>
        <w:jc w:val="both"/>
        <w:rPr>
          <w:rFonts w:ascii="Arial Narrow" w:hAnsi="Arial Narrow"/>
          <w:sz w:val="16"/>
          <w:szCs w:val="16"/>
          <w:lang w:val="lv-LV"/>
        </w:rPr>
      </w:pPr>
      <w:r w:rsidRPr="000675CC">
        <w:rPr>
          <w:rFonts w:ascii="Arial Narrow" w:hAnsi="Arial Narrow"/>
          <w:sz w:val="16"/>
          <w:szCs w:val="16"/>
          <w:lang w:val="lv-LV"/>
        </w:rPr>
        <w:t>3. Inflācijas izmaiņas (IR).</w:t>
      </w:r>
      <w:r w:rsidRPr="000675CC">
        <w:rPr>
          <w:rFonts w:ascii="Arial Narrow" w:hAnsi="Arial Narrow"/>
          <w:sz w:val="16"/>
          <w:szCs w:val="16"/>
          <w:lang w:val="lv-LV"/>
        </w:rPr>
        <w:tab/>
      </w:r>
    </w:p>
    <w:p w:rsidR="005807D0" w:rsidRPr="000675CC" w:rsidP="005807D0" w14:paraId="328A5385" w14:textId="3A5D6451">
      <w:pPr>
        <w:spacing w:after="0"/>
        <w:jc w:val="both"/>
        <w:rPr>
          <w:rFonts w:ascii="Arial Narrow" w:hAnsi="Arial Narrow"/>
          <w:sz w:val="16"/>
          <w:szCs w:val="16"/>
          <w:lang w:val="lv-LV"/>
        </w:rPr>
        <w:sectPr w:rsidSect="00031DD0">
          <w:headerReference w:type="even" r:id="rId162"/>
          <w:headerReference w:type="default" r:id="rId163"/>
          <w:footerReference w:type="even" r:id="rId164"/>
          <w:footerReference w:type="default" r:id="rId165"/>
          <w:headerReference w:type="first" r:id="rId166"/>
          <w:footerReference w:type="first" r:id="rId167"/>
          <w:pgSz w:w="11906" w:h="16838"/>
          <w:pgMar w:top="1440" w:right="1134" w:bottom="1440" w:left="1440" w:header="431" w:footer="431" w:gutter="0"/>
          <w:pgBorders w:zOrder="front" w:display="allPages" w:offsetFrom="text">
            <w:top w:val="nil"/>
            <w:left w:val="nil"/>
            <w:bottom w:val="nil"/>
            <w:right w:val="nil"/>
          </w:pgBorders>
          <w:cols w:space="720"/>
          <w:vAlign w:val="top"/>
          <w:titlePg w:val="0"/>
          <w:rtlGutter w:val="0"/>
          <w:docGrid w:linePitch="360"/>
        </w:sectPr>
      </w:pPr>
    </w:p>
    <w:p w:rsidR="00331FD4" w:rsidRPr="000675CC" w:rsidP="00331FD4" w14:paraId="52EEFB1A" w14:textId="7FB2E5DC">
      <w:pPr>
        <w:spacing w:after="0"/>
        <w:jc w:val="both"/>
        <w:rPr>
          <w:rFonts w:ascii="Arial Narrow" w:hAnsi="Arial Narrow"/>
          <w:b/>
          <w:bCs/>
          <w:sz w:val="16"/>
          <w:szCs w:val="16"/>
          <w:lang w:val="lv-LV"/>
        </w:rPr>
      </w:pPr>
      <w:r w:rsidRPr="000675CC">
        <w:rPr>
          <w:rFonts w:ascii="Arial Narrow" w:hAnsi="Arial Narrow"/>
          <w:b/>
          <w:bCs/>
          <w:sz w:val="16"/>
          <w:szCs w:val="16"/>
          <w:lang w:val="lv-LV"/>
        </w:rPr>
        <w:t>3. Nozīmīgi grāmatvedības spriedumi, aplēses un pieņēmumi (turpinājums)</w:t>
      </w:r>
    </w:p>
    <w:p w:rsidR="00331FD4" w:rsidRPr="000675CC" w:rsidP="00331FD4" w14:paraId="3523EEF6" w14:textId="77777777">
      <w:pPr>
        <w:spacing w:after="0"/>
        <w:jc w:val="both"/>
        <w:rPr>
          <w:rFonts w:ascii="Arial Narrow" w:hAnsi="Arial Narrow"/>
          <w:sz w:val="16"/>
          <w:szCs w:val="16"/>
          <w:lang w:val="lv-LV"/>
        </w:rPr>
      </w:pP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331FD4" w:rsidRPr="000675CC" w:rsidP="00331FD4" w14:paraId="3E931707" w14:textId="389C9AEE">
      <w:pPr>
        <w:spacing w:after="0"/>
        <w:jc w:val="both"/>
        <w:rPr>
          <w:rFonts w:ascii="Arial Narrow" w:hAnsi="Arial Narrow"/>
          <w:b/>
          <w:bCs/>
          <w:i/>
          <w:iCs/>
          <w:sz w:val="16"/>
          <w:szCs w:val="16"/>
          <w:lang w:val="lv-LV"/>
        </w:rPr>
      </w:pPr>
      <w:r w:rsidRPr="000675CC">
        <w:rPr>
          <w:rFonts w:ascii="Arial Narrow" w:hAnsi="Arial Narrow"/>
          <w:b/>
          <w:bCs/>
          <w:i/>
          <w:iCs/>
          <w:sz w:val="16"/>
          <w:szCs w:val="16"/>
          <w:lang w:val="lv-LV"/>
        </w:rPr>
        <w:t xml:space="preserve">Finanšu </w:t>
      </w:r>
      <w:r w:rsidRPr="000675CC">
        <w:rPr>
          <w:rFonts w:ascii="Arial Narrow" w:hAnsi="Arial Narrow"/>
          <w:b/>
          <w:bCs/>
          <w:i/>
          <w:iCs/>
          <w:sz w:val="16"/>
          <w:szCs w:val="16"/>
          <w:lang w:val="lv-LV"/>
        </w:rPr>
        <w:t>aktīvu vērtības samazinājums (turpinājums)</w:t>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p>
    <w:p w:rsidR="00282E7E" w:rsidRPr="000675CC" w:rsidP="00331FD4" w14:paraId="7B2C506C" w14:textId="77777777">
      <w:pPr>
        <w:spacing w:after="0"/>
        <w:jc w:val="both"/>
        <w:rPr>
          <w:rFonts w:ascii="Arial Narrow" w:hAnsi="Arial Narrow"/>
          <w:sz w:val="16"/>
          <w:szCs w:val="16"/>
          <w:lang w:val="lv-LV"/>
        </w:rPr>
      </w:pPr>
    </w:p>
    <w:p w:rsidR="00282E7E" w:rsidRPr="000675CC" w:rsidP="0030301A" w14:paraId="76161B96"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 xml:space="preserve">Modelis ietver rādītājus, kas, pamatojoties uz Koncerna ekspertu viedokli un pielietoto praksi nozarē, varētu būtiski ietekmēt finanšu produktu saistību nepildīšanas rādītājus. Šādus rādītājus plaši </w:t>
      </w:r>
      <w:r w:rsidRPr="000675CC">
        <w:rPr>
          <w:rFonts w:ascii="Arial Narrow" w:hAnsi="Arial Narrow"/>
          <w:sz w:val="16"/>
          <w:szCs w:val="16"/>
          <w:lang w:val="lv-LV"/>
        </w:rPr>
        <w:t>izmanto arī banku un nebanku nozare visā pasaulē. Modelis pieņem saistību starp makro indikatoru izmaiņām un 1. stadijas PD izmaiņām. Ja pastāv cieša korelācija starp 1. stadijas PD un makro indikatora izmaiņām, tad, lai noteiktu makro indikatora izmaiņu i</w:t>
      </w:r>
      <w:r w:rsidRPr="000675CC">
        <w:rPr>
          <w:rFonts w:ascii="Arial Narrow" w:hAnsi="Arial Narrow"/>
          <w:sz w:val="16"/>
          <w:szCs w:val="16"/>
          <w:lang w:val="lv-LV"/>
        </w:rPr>
        <w:t>etekmi uz PD, tika izmantots lineārās regresijas vienādojums. Ja starp 1. posma PD un makro rādītāju izmaiņām nav redzama korelācija, ietekme uz PD tiek novērtēta, pamatojoties uz pieejamo datu kvalitatīvu analīzi un pamatotiem ekspertu pieņēmumiem.</w:t>
      </w:r>
    </w:p>
    <w:p w:rsidR="00282E7E" w:rsidRPr="000675CC" w:rsidP="00282E7E" w14:paraId="492D3850" w14:textId="77777777">
      <w:pPr>
        <w:spacing w:after="0"/>
        <w:jc w:val="both"/>
        <w:rPr>
          <w:rFonts w:ascii="Arial Narrow" w:hAnsi="Arial Narrow"/>
          <w:sz w:val="16"/>
          <w:szCs w:val="16"/>
          <w:lang w:val="lv-LV"/>
        </w:rPr>
      </w:pPr>
    </w:p>
    <w:p w:rsidR="00282E7E" w:rsidRPr="000675CC" w:rsidP="0030301A" w14:paraId="66D6216A"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Lai ņ</w:t>
      </w:r>
      <w:r w:rsidRPr="000675CC">
        <w:rPr>
          <w:rFonts w:ascii="Arial Narrow" w:hAnsi="Arial Narrow"/>
          <w:sz w:val="16"/>
          <w:szCs w:val="16"/>
          <w:lang w:val="lv-LV"/>
        </w:rPr>
        <w:t>emtu vērā iespējamās ekonomiskās svārstības un nenoteiktību, tiek ņemti vērā trīs scenāriji un izmantoti galīgajos aprēķinos, lai iegūtu vidējo svērto varbūtību:</w:t>
      </w:r>
    </w:p>
    <w:p w:rsidR="00282E7E" w:rsidRPr="000675CC" w:rsidP="00282E7E" w14:paraId="3FCCBCDE" w14:textId="77777777">
      <w:pPr>
        <w:spacing w:after="0"/>
        <w:jc w:val="both"/>
        <w:rPr>
          <w:rFonts w:ascii="Arial Narrow" w:hAnsi="Arial Narrow"/>
          <w:sz w:val="16"/>
          <w:szCs w:val="16"/>
          <w:lang w:val="lv-LV"/>
        </w:rPr>
      </w:pPr>
      <w:r w:rsidRPr="000675CC">
        <w:rPr>
          <w:rFonts w:ascii="Arial Narrow" w:hAnsi="Arial Narrow"/>
          <w:sz w:val="16"/>
          <w:szCs w:val="16"/>
          <w:lang w:val="lv-LV"/>
        </w:rPr>
        <w:t>1. bāzes scenārijs - pamatojoties uz faktiskajiem datiem un prognozēm pēc ārējā avota.</w:t>
      </w:r>
    </w:p>
    <w:p w:rsidR="00282E7E" w:rsidRPr="000675CC" w:rsidP="00282E7E" w14:paraId="2C7676ED" w14:textId="77777777">
      <w:pPr>
        <w:spacing w:after="0"/>
        <w:jc w:val="both"/>
        <w:rPr>
          <w:rFonts w:ascii="Arial Narrow" w:hAnsi="Arial Narrow"/>
          <w:sz w:val="16"/>
          <w:szCs w:val="16"/>
          <w:lang w:val="lv-LV"/>
        </w:rPr>
      </w:pPr>
      <w:r w:rsidRPr="000675CC">
        <w:rPr>
          <w:rFonts w:ascii="Arial Narrow" w:hAnsi="Arial Narrow"/>
          <w:sz w:val="16"/>
          <w:szCs w:val="16"/>
          <w:lang w:val="lv-LV"/>
        </w:rPr>
        <w:t>2. slik</w:t>
      </w:r>
      <w:r w:rsidRPr="000675CC">
        <w:rPr>
          <w:rFonts w:ascii="Arial Narrow" w:hAnsi="Arial Narrow"/>
          <w:sz w:val="16"/>
          <w:szCs w:val="16"/>
          <w:lang w:val="lv-LV"/>
        </w:rPr>
        <w:t>tākais scenārijs – balstoties uz ekspertu spriedumu par iespējamo makroekonomisko rādītāju pasliktināšanos.</w:t>
      </w:r>
    </w:p>
    <w:p w:rsidR="00282E7E" w:rsidRPr="000675CC" w:rsidP="00282E7E" w14:paraId="7C31F9B3" w14:textId="45E82EC1">
      <w:pPr>
        <w:spacing w:after="0"/>
        <w:jc w:val="both"/>
        <w:rPr>
          <w:rFonts w:ascii="Arial Narrow" w:hAnsi="Arial Narrow"/>
          <w:sz w:val="16"/>
          <w:szCs w:val="16"/>
          <w:lang w:val="lv-LV"/>
        </w:rPr>
      </w:pPr>
      <w:r w:rsidRPr="000675CC">
        <w:rPr>
          <w:rFonts w:ascii="Arial Narrow" w:hAnsi="Arial Narrow"/>
          <w:sz w:val="16"/>
          <w:szCs w:val="16"/>
          <w:lang w:val="lv-LV"/>
        </w:rPr>
        <w:t xml:space="preserve">3. </w:t>
      </w:r>
      <w:r w:rsidRPr="000675CC" w:rsidR="00301A79">
        <w:rPr>
          <w:rFonts w:ascii="Arial Narrow" w:hAnsi="Arial Narrow"/>
          <w:sz w:val="16"/>
          <w:szCs w:val="16"/>
          <w:lang w:val="lv-LV"/>
        </w:rPr>
        <w:t>l</w:t>
      </w:r>
      <w:r w:rsidRPr="000675CC">
        <w:rPr>
          <w:rFonts w:ascii="Arial Narrow" w:hAnsi="Arial Narrow"/>
          <w:sz w:val="16"/>
          <w:szCs w:val="16"/>
          <w:lang w:val="lv-LV"/>
        </w:rPr>
        <w:t>abākais scenārijs – balstoties uz ekspertu vērtējumu par makroekonomisko rādītāju iespējamo uzlabošanos.</w:t>
      </w:r>
    </w:p>
    <w:p w:rsidR="00282E7E" w:rsidRPr="000675CC" w:rsidP="00282E7E" w14:paraId="3331DFD2" w14:textId="77777777">
      <w:pPr>
        <w:spacing w:after="0"/>
        <w:jc w:val="both"/>
        <w:rPr>
          <w:rFonts w:ascii="Arial Narrow" w:hAnsi="Arial Narrow"/>
          <w:sz w:val="16"/>
          <w:szCs w:val="16"/>
          <w:lang w:val="lv-LV"/>
        </w:rPr>
      </w:pPr>
      <w:r w:rsidRPr="000675CC">
        <w:rPr>
          <w:rFonts w:ascii="Arial Narrow" w:hAnsi="Arial Narrow"/>
          <w:sz w:val="16"/>
          <w:szCs w:val="16"/>
          <w:lang w:val="lv-LV"/>
        </w:rPr>
        <w:t>Sliktākais un labākais scenārijs tiek i</w:t>
      </w:r>
      <w:r w:rsidRPr="000675CC">
        <w:rPr>
          <w:rFonts w:ascii="Arial Narrow" w:hAnsi="Arial Narrow"/>
          <w:sz w:val="16"/>
          <w:szCs w:val="16"/>
          <w:lang w:val="lv-LV"/>
        </w:rPr>
        <w:t>egūts no bāzes scenārija palielināšanas vai samazināšanas bāzes scenārija pēc dotās makro indikatora prognozes ticamības intervāla. Katrai makroekonomiskā rādītāja prognozei ir pieejami ticamības intervāli, un tos ir viegli nolasīt no grafika. Katram scenā</w:t>
      </w:r>
      <w:r w:rsidRPr="000675CC">
        <w:rPr>
          <w:rFonts w:ascii="Arial Narrow" w:hAnsi="Arial Narrow"/>
          <w:sz w:val="16"/>
          <w:szCs w:val="16"/>
          <w:lang w:val="lv-LV"/>
        </w:rPr>
        <w:t>rijam ir arī noteikta iespējamība, ka tas notiks. Koncerns piemēro 15% varbūtību sliktākajam scenārijam un tikai 5% labākajam gadījumam.</w:t>
      </w:r>
    </w:p>
    <w:p w:rsidR="00282E7E" w:rsidRPr="000675CC" w:rsidP="00282E7E" w14:paraId="1681AD35"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Lai ņemtu vērā nākotnes nenoteiktību, ja modelis radītu pozitīvu PD korekciju, Koncerns ir nolēmis piemērot piesardzīgu</w:t>
      </w:r>
      <w:r w:rsidRPr="000675CC">
        <w:rPr>
          <w:rFonts w:ascii="Arial Narrow" w:hAnsi="Arial Narrow"/>
          <w:sz w:val="16"/>
          <w:szCs w:val="16"/>
          <w:lang w:val="lv-LV"/>
        </w:rPr>
        <w:t xml:space="preserve"> pieeju un neizmantot uzlabojošo PD efektu vērtības samazinājuma korekcijai. Šādos gadījumos 2022. gadam ir noteikts uzlabojumu robežlielums 0%.</w:t>
      </w:r>
    </w:p>
    <w:p w:rsidR="00282E7E" w:rsidRPr="000675CC" w:rsidP="00282E7E" w14:paraId="6EF4864D"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Tad makro modeļa rezultāts tiek piemērots 1. stadijas PD katra mēneša noslēgumā, sākot ar 2021 . gada decembri.</w:t>
      </w:r>
      <w:r w:rsidRPr="000675CC">
        <w:rPr>
          <w:rFonts w:ascii="Arial Narrow" w:hAnsi="Arial Narrow"/>
          <w:sz w:val="16"/>
          <w:szCs w:val="16"/>
          <w:lang w:val="lv-LV"/>
        </w:rPr>
        <w:t xml:space="preserve"> Makro prognozes tiek pastāvīgi atjaunotas reizi ceturksnī, un paredzams,  ka arī makro modelis tiks atjaunots reizi ceturksnī 2022. gadā.</w:t>
      </w:r>
    </w:p>
    <w:p w:rsidR="00282E7E" w:rsidRPr="000675CC" w:rsidP="00282E7E" w14:paraId="3231D877" w14:textId="77777777">
      <w:pPr>
        <w:spacing w:after="0"/>
        <w:jc w:val="both"/>
        <w:rPr>
          <w:rFonts w:ascii="Arial Narrow" w:hAnsi="Arial Narrow"/>
          <w:sz w:val="16"/>
          <w:szCs w:val="16"/>
          <w:lang w:val="lv-LV"/>
        </w:rPr>
      </w:pPr>
    </w:p>
    <w:p w:rsidR="00282E7E" w:rsidRPr="000675CC" w:rsidP="00282E7E" w14:paraId="7CA5D075" w14:textId="77777777">
      <w:pPr>
        <w:spacing w:after="0"/>
        <w:jc w:val="both"/>
        <w:rPr>
          <w:rFonts w:ascii="Arial Narrow" w:hAnsi="Arial Narrow"/>
          <w:i/>
          <w:iCs/>
          <w:sz w:val="16"/>
          <w:szCs w:val="16"/>
          <w:lang w:val="lv-LV"/>
        </w:rPr>
      </w:pPr>
      <w:r w:rsidRPr="000675CC">
        <w:rPr>
          <w:rFonts w:ascii="Arial Narrow" w:hAnsi="Arial Narrow"/>
          <w:i/>
          <w:iCs/>
          <w:sz w:val="16"/>
          <w:szCs w:val="16"/>
          <w:lang w:val="lv-LV"/>
        </w:rPr>
        <w:t>Saistību neizpildes izkliedes vektors (DDV)</w:t>
      </w:r>
    </w:p>
    <w:p w:rsidR="00282E7E" w:rsidRPr="000675CC" w:rsidP="00282E7E" w14:paraId="003B20A7" w14:textId="0A10F406">
      <w:pPr>
        <w:spacing w:after="0"/>
        <w:ind w:firstLine="720"/>
        <w:jc w:val="both"/>
        <w:rPr>
          <w:rFonts w:ascii="Arial Narrow" w:hAnsi="Arial Narrow"/>
          <w:sz w:val="16"/>
          <w:szCs w:val="16"/>
          <w:lang w:val="lv-LV"/>
        </w:rPr>
      </w:pPr>
      <w:r w:rsidRPr="000675CC">
        <w:rPr>
          <w:rFonts w:ascii="Arial Narrow" w:hAnsi="Arial Narrow"/>
          <w:sz w:val="16"/>
          <w:szCs w:val="16"/>
          <w:lang w:val="lv-LV"/>
        </w:rPr>
        <w:t>Saistību neizpildes izkliedes vektors (angl: default distribution vector</w:t>
      </w:r>
      <w:r w:rsidRPr="000675CC">
        <w:rPr>
          <w:rFonts w:ascii="Arial Narrow" w:hAnsi="Arial Narrow"/>
          <w:sz w:val="16"/>
          <w:szCs w:val="16"/>
          <w:lang w:val="lv-LV"/>
        </w:rPr>
        <w:t>) atspoguļo PD rādītāja izkliedi 12 mēnešu vai dzīvescikla laikā. To aprēķina, izmantojot vēsturiskos datu paraugus no visiem kredītiem ar saistību neizpildi.</w:t>
      </w:r>
    </w:p>
    <w:p w:rsidR="00282E7E" w:rsidRPr="000675CC" w:rsidP="00282E7E" w14:paraId="476E44ED" w14:textId="77777777">
      <w:pPr>
        <w:spacing w:after="0"/>
        <w:ind w:firstLine="720"/>
        <w:jc w:val="both"/>
        <w:rPr>
          <w:rFonts w:ascii="Arial Narrow" w:hAnsi="Arial Narrow"/>
          <w:sz w:val="16"/>
          <w:szCs w:val="16"/>
          <w:lang w:val="lv-LV"/>
        </w:rPr>
      </w:pPr>
    </w:p>
    <w:p w:rsidR="00282E7E" w:rsidRPr="000675CC" w:rsidP="00282E7E" w14:paraId="77605BCA" w14:textId="77777777">
      <w:pPr>
        <w:spacing w:after="0"/>
        <w:jc w:val="both"/>
        <w:rPr>
          <w:rFonts w:ascii="Arial Narrow" w:hAnsi="Arial Narrow"/>
          <w:i/>
          <w:iCs/>
          <w:sz w:val="16"/>
          <w:szCs w:val="16"/>
          <w:lang w:val="lv-LV"/>
        </w:rPr>
      </w:pPr>
      <w:r w:rsidRPr="000675CC">
        <w:rPr>
          <w:rFonts w:ascii="Arial Narrow" w:hAnsi="Arial Narrow"/>
          <w:i/>
          <w:iCs/>
          <w:sz w:val="16"/>
          <w:szCs w:val="16"/>
          <w:lang w:val="lv-LV"/>
        </w:rPr>
        <w:t>Zaudējumi no saistību neizpildes</w:t>
      </w:r>
    </w:p>
    <w:p w:rsidR="00282E7E" w:rsidRPr="000675CC" w:rsidP="00282E7E" w14:paraId="46AE4C45" w14:textId="77777777">
      <w:pPr>
        <w:spacing w:after="0"/>
        <w:jc w:val="both"/>
        <w:rPr>
          <w:rFonts w:ascii="Arial Narrow" w:hAnsi="Arial Narrow"/>
          <w:i/>
          <w:iCs/>
          <w:sz w:val="16"/>
          <w:szCs w:val="16"/>
          <w:lang w:val="lv-LV"/>
        </w:rPr>
      </w:pPr>
      <w:r w:rsidRPr="000675CC">
        <w:rPr>
          <w:rFonts w:ascii="Arial Narrow" w:hAnsi="Arial Narrow"/>
          <w:i/>
          <w:iCs/>
          <w:sz w:val="16"/>
          <w:szCs w:val="16"/>
          <w:lang w:val="lv-LV"/>
        </w:rPr>
        <w:t>No finanšu nomas izrietošas prasības</w:t>
      </w:r>
    </w:p>
    <w:p w:rsidR="00282E7E" w:rsidRPr="000675CC" w:rsidP="00D4596E" w14:paraId="27B0CCE8"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Koncerns stingri uzrauga n</w:t>
      </w:r>
      <w:r w:rsidRPr="000675CC">
        <w:rPr>
          <w:rFonts w:ascii="Arial Narrow" w:hAnsi="Arial Narrow"/>
          <w:sz w:val="16"/>
          <w:szCs w:val="16"/>
          <w:lang w:val="lv-LV"/>
        </w:rPr>
        <w:t>o finanšu nomas izrietošo kavēto prasību atgūšanu un katru mēnesi pārskata LGD rādītājus, ņemot vērā faktiski atgūtās summas.</w:t>
      </w:r>
    </w:p>
    <w:p w:rsidR="00282E7E" w:rsidRPr="000675CC" w:rsidP="00282E7E" w14:paraId="44B1B1F4" w14:textId="7DADB456">
      <w:pPr>
        <w:spacing w:after="0"/>
        <w:jc w:val="both"/>
        <w:rPr>
          <w:rFonts w:ascii="Arial Narrow" w:hAnsi="Arial Narrow"/>
          <w:sz w:val="16"/>
          <w:szCs w:val="16"/>
          <w:lang w:val="lv-LV"/>
        </w:rPr>
      </w:pPr>
      <w:r w:rsidRPr="000675CC">
        <w:rPr>
          <w:rFonts w:ascii="Arial Narrow" w:hAnsi="Arial Narrow"/>
          <w:sz w:val="16"/>
          <w:szCs w:val="16"/>
          <w:lang w:val="lv-LV"/>
        </w:rPr>
        <w:tab/>
        <w:t>LGD aprēķinā tiek izmantotas visas no finanšu nomas izrietošās prasības, kurām vēsturiski atzīta saistību neizpilde. Ja līgums ti</w:t>
      </w:r>
      <w:r w:rsidRPr="000675CC">
        <w:rPr>
          <w:rFonts w:ascii="Arial Narrow" w:hAnsi="Arial Narrow"/>
          <w:sz w:val="16"/>
          <w:szCs w:val="16"/>
          <w:lang w:val="lv-LV"/>
        </w:rPr>
        <w:t>ek pārtraukts pirms tiek sasniegta saistību neizpilde, tiek uzskatīts, ka aizdevumā netiek pildītas saistības (agrīna saistību neizpilde), un tas tiek iekļauts LGD paraugā. Šādu aizņēmumu atgūšana tiek uzraudzīta katru mēnesi. Tiek  sekots līdzi  naudas at</w:t>
      </w:r>
      <w:r w:rsidRPr="000675CC">
        <w:rPr>
          <w:rFonts w:ascii="Arial Narrow" w:hAnsi="Arial Narrow"/>
          <w:sz w:val="16"/>
          <w:szCs w:val="16"/>
          <w:lang w:val="lv-LV"/>
        </w:rPr>
        <w:t>gūšanai, izmantojot parasto parādu piedziņas procesu, pārdodot automašīnu, cedējot un ierosinot tiesvedību.</w:t>
      </w:r>
    </w:p>
    <w:p w:rsidR="00282E7E" w:rsidRPr="000675CC" w:rsidP="001A482C" w14:paraId="7004B707" w14:textId="6855BF4A">
      <w:pPr>
        <w:spacing w:after="0"/>
        <w:ind w:firstLine="720"/>
        <w:jc w:val="both"/>
        <w:rPr>
          <w:rFonts w:ascii="Arial Narrow" w:hAnsi="Arial Narrow"/>
          <w:sz w:val="16"/>
          <w:szCs w:val="16"/>
          <w:lang w:val="lv-LV"/>
        </w:rPr>
      </w:pPr>
      <w:r w:rsidRPr="000675CC">
        <w:rPr>
          <w:rFonts w:ascii="Arial Narrow" w:hAnsi="Arial Narrow"/>
          <w:sz w:val="16"/>
          <w:szCs w:val="16"/>
          <w:lang w:val="lv-LV"/>
        </w:rPr>
        <w:t xml:space="preserve">Pārjaunotās nomas (atjaunota spēja veikt maksājumus pēc līgumu pārtraukšanas) ietekmē arī LGD rādītāju, ietverot pēc līguma </w:t>
      </w:r>
      <w:r w:rsidRPr="000675CC">
        <w:rPr>
          <w:rFonts w:ascii="Arial Narrow" w:hAnsi="Arial Narrow"/>
          <w:sz w:val="16"/>
          <w:szCs w:val="16"/>
          <w:lang w:val="lv-LV"/>
        </w:rPr>
        <w:t xml:space="preserve">pārjaunošanas atgūtos naudas līdzekļus un salīdzinot tos ar EAD rādītāju līgumiem, kas vēlāk ir pārjaunoti, tā iegūstot atveseļošanās rādītāju. Atveseļošanās rādītājs pārjaunotiem līgumiem tiek aprēķināts trīs gadu periodā. Aprēķinot vērtības samazinājumu </w:t>
      </w:r>
      <w:r w:rsidRPr="000675CC">
        <w:rPr>
          <w:rFonts w:ascii="Arial Narrow" w:hAnsi="Arial Narrow"/>
          <w:sz w:val="16"/>
          <w:szCs w:val="16"/>
          <w:lang w:val="lv-LV"/>
        </w:rPr>
        <w:t>2021. gada 31. decembrī, tika izmantots atveseļošanās rādītājs 82,53% (31.12.2020.: 93,6%). Aplēstais LGD koeficients tiek izmantots visām portfeļa grupām, izņemot nenodrošinātajiem aizdevumiem. LGD rādītājs nenodrošinātajam portfelim tiek aplēsts, izmanto</w:t>
      </w:r>
      <w:r w:rsidRPr="000675CC">
        <w:rPr>
          <w:rFonts w:ascii="Arial Narrow" w:hAnsi="Arial Narrow"/>
          <w:sz w:val="16"/>
          <w:szCs w:val="16"/>
          <w:lang w:val="lv-LV"/>
        </w:rPr>
        <w:t>jot triangulāru atgūšanas matricu visiem nenodrošinātajiem kredītiem. Atgūtās summas tiek diskontētas ar efektīvo procentu likmi atkarībā no mēnešu skaita starp datumu, kad kontam tika piešķirts nenodrošināta konta statuss, līdz datumam, kad tika atgūti lī</w:t>
      </w:r>
      <w:r w:rsidRPr="000675CC">
        <w:rPr>
          <w:rFonts w:ascii="Arial Narrow" w:hAnsi="Arial Narrow"/>
          <w:sz w:val="16"/>
          <w:szCs w:val="16"/>
          <w:lang w:val="lv-LV"/>
        </w:rPr>
        <w:t>dzekļi. Tā kā lielākā daļa automašīnu pārdošanas darījumu notiek pirms nenodrošinātā statusa piešķiršanas, LGD rādītājs nenodrošinātajam portfelim ir ievērojami augstāks nekā citām grupām.</w:t>
      </w:r>
    </w:p>
    <w:p w:rsidR="00282E7E" w:rsidRPr="000675CC" w:rsidP="00282E7E" w14:paraId="7FEE7C21" w14:textId="77777777">
      <w:pPr>
        <w:spacing w:after="0"/>
        <w:jc w:val="both"/>
        <w:rPr>
          <w:rFonts w:ascii="Arial Narrow" w:hAnsi="Arial Narrow"/>
          <w:sz w:val="16"/>
          <w:szCs w:val="16"/>
          <w:lang w:val="lv-LV"/>
        </w:rPr>
      </w:pPr>
    </w:p>
    <w:p w:rsidR="00282E7E" w:rsidRPr="000675CC" w:rsidP="00282E7E" w14:paraId="7B1CF01A" w14:textId="77777777">
      <w:pPr>
        <w:spacing w:after="0"/>
        <w:jc w:val="both"/>
        <w:rPr>
          <w:rFonts w:ascii="Arial Narrow" w:hAnsi="Arial Narrow"/>
          <w:i/>
          <w:iCs/>
          <w:sz w:val="16"/>
          <w:szCs w:val="16"/>
          <w:lang w:val="lv-LV"/>
        </w:rPr>
      </w:pPr>
      <w:r w:rsidRPr="000675CC">
        <w:rPr>
          <w:rFonts w:ascii="Arial Narrow" w:hAnsi="Arial Narrow"/>
          <w:i/>
          <w:iCs/>
          <w:sz w:val="16"/>
          <w:szCs w:val="16"/>
          <w:lang w:val="lv-LV"/>
        </w:rPr>
        <w:t>Kredīti un izsniegti avansi (nenodrošināti kredīti)</w:t>
      </w:r>
    </w:p>
    <w:p w:rsidR="00282E7E" w:rsidRPr="000675CC" w:rsidP="00D4596E" w14:paraId="203407DD" w14:textId="3C98772A">
      <w:pPr>
        <w:spacing w:after="0"/>
        <w:ind w:firstLine="720"/>
        <w:jc w:val="both"/>
        <w:rPr>
          <w:rFonts w:ascii="Arial Narrow" w:hAnsi="Arial Narrow"/>
          <w:sz w:val="16"/>
          <w:szCs w:val="16"/>
          <w:lang w:val="lv-LV"/>
        </w:rPr>
      </w:pPr>
      <w:r w:rsidRPr="000675CC">
        <w:rPr>
          <w:rFonts w:ascii="Arial Narrow" w:hAnsi="Arial Narrow"/>
          <w:sz w:val="16"/>
          <w:szCs w:val="16"/>
          <w:lang w:val="lv-LV"/>
        </w:rPr>
        <w:t>LGD rādītājs n</w:t>
      </w:r>
      <w:r w:rsidRPr="000675CC">
        <w:rPr>
          <w:rFonts w:ascii="Arial Narrow" w:hAnsi="Arial Narrow"/>
          <w:sz w:val="16"/>
          <w:szCs w:val="16"/>
          <w:lang w:val="lv-LV"/>
        </w:rPr>
        <w:t>enodrošinātiem kredītiem tiek noteikts, balstoties uz parādu saistību tirgus aktivitāti un piedāvātajām cenām. Saistībām vēlākās stadijās (DPD 360) LGD rādītājs ir noteikts kā 100%.</w:t>
      </w:r>
    </w:p>
    <w:p w:rsidR="00E30C67" w:rsidRPr="000675CC" w:rsidP="00282E7E" w14:paraId="04D81DC6" w14:textId="77777777">
      <w:pPr>
        <w:spacing w:after="0"/>
        <w:jc w:val="both"/>
        <w:rPr>
          <w:rFonts w:ascii="Arial Narrow" w:hAnsi="Arial Narrow"/>
          <w:sz w:val="16"/>
          <w:szCs w:val="16"/>
          <w:lang w:val="lv-LV"/>
        </w:rPr>
      </w:pPr>
    </w:p>
    <w:p w:rsidR="00282E7E" w:rsidRPr="000675CC" w:rsidP="00282E7E" w14:paraId="071E6ADA" w14:textId="77777777">
      <w:pPr>
        <w:spacing w:after="0"/>
        <w:jc w:val="both"/>
        <w:rPr>
          <w:rFonts w:ascii="Arial Narrow" w:hAnsi="Arial Narrow"/>
          <w:i/>
          <w:iCs/>
          <w:sz w:val="16"/>
          <w:szCs w:val="16"/>
          <w:lang w:val="lv-LV"/>
        </w:rPr>
      </w:pPr>
      <w:r w:rsidRPr="000675CC">
        <w:rPr>
          <w:rFonts w:ascii="Arial Narrow" w:hAnsi="Arial Narrow"/>
          <w:i/>
          <w:iCs/>
          <w:sz w:val="16"/>
          <w:szCs w:val="16"/>
          <w:lang w:val="lv-LV"/>
        </w:rPr>
        <w:t>Atlikuma pie saistību neizpildes (EAD) modelēšana</w:t>
      </w:r>
    </w:p>
    <w:p w:rsidR="00282E7E" w:rsidRPr="000675CC" w:rsidP="00D4596E" w14:paraId="34F5DE33"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Riska darījumi, kuros n</w:t>
      </w:r>
      <w:r w:rsidRPr="000675CC">
        <w:rPr>
          <w:rFonts w:ascii="Arial Narrow" w:hAnsi="Arial Narrow"/>
          <w:sz w:val="16"/>
          <w:szCs w:val="16"/>
          <w:lang w:val="lv-LV"/>
        </w:rPr>
        <w:t>etiek pildītas saistības, tiek modelēti, koriģējot neatmaksāto nomas atlikumu un no nomas izrietošās prasības pārskata perioda beigu datumā par nākamo 12 mēnešu laikā paredzamajām atmaksām. 2021. gada 31. decembrī tas ir piemērots tikai 1. stadijas riska d</w:t>
      </w:r>
      <w:r w:rsidRPr="000675CC">
        <w:rPr>
          <w:rFonts w:ascii="Arial Narrow" w:hAnsi="Arial Narrow"/>
          <w:sz w:val="16"/>
          <w:szCs w:val="16"/>
          <w:lang w:val="lv-LV"/>
        </w:rPr>
        <w:t>arījumiem. Novērtējumu veic, balstoties uz līgumā noteikto atmaksas grafiku, kas koriģēts par novēroto vēsturisko atmaksas rādītāju. Vēsturiskā atmaksas pieredze tiek uzskatīta par uzticamu pamatu aplēsēm par nākotnē sagaidāmo saistību atmaksu.</w:t>
      </w:r>
    </w:p>
    <w:p w:rsidR="00282E7E" w:rsidRPr="000675CC" w:rsidP="00282E7E" w14:paraId="37014988" w14:textId="77777777">
      <w:pPr>
        <w:spacing w:after="0"/>
        <w:jc w:val="both"/>
        <w:rPr>
          <w:rFonts w:ascii="Arial Narrow" w:hAnsi="Arial Narrow"/>
          <w:sz w:val="16"/>
          <w:szCs w:val="16"/>
          <w:lang w:val="lv-LV"/>
        </w:rPr>
      </w:pPr>
    </w:p>
    <w:p w:rsidR="00282E7E" w:rsidRPr="000675CC" w:rsidP="00282E7E" w14:paraId="476EA845" w14:textId="77777777">
      <w:pPr>
        <w:spacing w:after="0"/>
        <w:jc w:val="both"/>
        <w:rPr>
          <w:rFonts w:ascii="Arial Narrow" w:hAnsi="Arial Narrow"/>
          <w:i/>
          <w:iCs/>
          <w:sz w:val="16"/>
          <w:szCs w:val="16"/>
          <w:lang w:val="lv-LV"/>
        </w:rPr>
      </w:pPr>
      <w:r w:rsidRPr="000675CC">
        <w:rPr>
          <w:rFonts w:ascii="Arial Narrow" w:hAnsi="Arial Narrow"/>
          <w:i/>
          <w:iCs/>
          <w:sz w:val="16"/>
          <w:szCs w:val="16"/>
          <w:lang w:val="lv-LV"/>
        </w:rPr>
        <w:t xml:space="preserve">Aizdevumu </w:t>
      </w:r>
      <w:r w:rsidRPr="000675CC">
        <w:rPr>
          <w:rFonts w:ascii="Arial Narrow" w:hAnsi="Arial Narrow"/>
          <w:i/>
          <w:iCs/>
          <w:sz w:val="16"/>
          <w:szCs w:val="16"/>
          <w:lang w:val="lv-LV"/>
        </w:rPr>
        <w:t>radniecīgām sabiedrībām un debitoru parādu vērtības samazināšanās</w:t>
      </w:r>
    </w:p>
    <w:p w:rsidR="00282E7E" w:rsidRPr="000675CC" w:rsidP="00D4596E" w14:paraId="7B3A2BF1"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Radniecīgo sabiedrību debitoru parādi ir pakļauti Koncerna kredītriskam. Tāpēc ELC noteikšanā ir piemērots salīdzinošs PD un LGD rādītājs, kas balstīts uz Standard &amp; Poor's korporatīvās stat</w:t>
      </w:r>
      <w:r w:rsidRPr="000675CC">
        <w:rPr>
          <w:rFonts w:ascii="Arial Narrow" w:hAnsi="Arial Narrow"/>
          <w:sz w:val="16"/>
          <w:szCs w:val="16"/>
          <w:lang w:val="lv-LV"/>
        </w:rPr>
        <w:t>istikas izpēti.</w:t>
      </w:r>
    </w:p>
    <w:p w:rsidR="00331FD4" w:rsidRPr="000675CC" w:rsidP="00331FD4" w14:paraId="03A883E8" w14:textId="71FAE2EF">
      <w:pPr>
        <w:spacing w:after="0"/>
        <w:jc w:val="both"/>
        <w:rPr>
          <w:rFonts w:ascii="Arial Narrow" w:hAnsi="Arial Narrow"/>
          <w:sz w:val="16"/>
          <w:szCs w:val="16"/>
          <w:lang w:val="lv-LV"/>
        </w:rPr>
      </w:pPr>
      <w:r w:rsidRPr="000675CC">
        <w:rPr>
          <w:rFonts w:ascii="Arial Narrow" w:hAnsi="Arial Narrow"/>
          <w:sz w:val="16"/>
          <w:szCs w:val="16"/>
          <w:lang w:val="lv-LV"/>
        </w:rPr>
        <w:t>Būtisks kredītriska pieaugums darījumos ar radniecīgām sabiedrībām tiek noteikts, balstoties uz Koncernam pieejamu informāciju par radniecīgo sabiedrību finanšu darbības rezultātiem. Novērtējumā tiek salīdzināts radniecīgās sabiedrības fina</w:t>
      </w:r>
      <w:r w:rsidRPr="000675CC">
        <w:rPr>
          <w:rFonts w:ascii="Arial Narrow" w:hAnsi="Arial Narrow"/>
          <w:sz w:val="16"/>
          <w:szCs w:val="16"/>
          <w:lang w:val="lv-LV"/>
        </w:rPr>
        <w:t>nšu stāvoklis vērtības samazinājuma novērtēšanas datumā ar tās finanšu stāvokli brīdī, kad tika slēgts riska darījums. Lai riska darījumus pārceltu uz 2.stadiju, tiek izmantots 30 dienu kavējuma indikators.</w:t>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r w:rsidRPr="000675CC" w:rsidR="00E30C67">
        <w:rPr>
          <w:rFonts w:ascii="Arial Narrow" w:hAnsi="Arial Narrow"/>
          <w:sz w:val="16"/>
          <w:szCs w:val="16"/>
          <w:lang w:val="lv-LV"/>
        </w:rPr>
        <w:tab/>
      </w:r>
    </w:p>
    <w:p w:rsidR="00331FD4" w:rsidRPr="000675CC" w:rsidP="00331FD4" w14:paraId="72D913D9" w14:textId="56641675">
      <w:pPr>
        <w:spacing w:after="0"/>
        <w:jc w:val="both"/>
        <w:rPr>
          <w:rFonts w:ascii="Arial Narrow" w:hAnsi="Arial Narrow"/>
          <w:b/>
          <w:bCs/>
          <w:i/>
          <w:iCs/>
          <w:sz w:val="16"/>
          <w:szCs w:val="16"/>
          <w:lang w:val="lv-LV"/>
        </w:rPr>
      </w:pPr>
      <w:r w:rsidRPr="000675CC">
        <w:rPr>
          <w:rFonts w:ascii="Arial Narrow" w:hAnsi="Arial Narrow"/>
          <w:b/>
          <w:bCs/>
          <w:i/>
          <w:iCs/>
          <w:sz w:val="16"/>
          <w:szCs w:val="16"/>
          <w:lang w:val="lv-LV"/>
        </w:rPr>
        <w:t xml:space="preserve">Pārdošanai turētu aktīvu FVLCTS rādītāja noteikšana </w:t>
      </w:r>
    </w:p>
    <w:p w:rsidR="000675CC" w:rsidRPr="000675CC" w:rsidP="00331FD4" w14:paraId="58BE6FA1" w14:textId="77777777">
      <w:pPr>
        <w:spacing w:after="0"/>
        <w:jc w:val="both"/>
        <w:rPr>
          <w:rFonts w:ascii="Arial Narrow" w:hAnsi="Arial Narrow"/>
          <w:b/>
          <w:bCs/>
          <w:i/>
          <w:iCs/>
          <w:sz w:val="16"/>
          <w:szCs w:val="16"/>
          <w:lang w:val="lv-LV"/>
        </w:rPr>
      </w:pPr>
    </w:p>
    <w:p w:rsidR="001E6DAA" w:rsidRPr="000675CC" w:rsidP="001E6DAA" w14:paraId="34CA14AD" w14:textId="4579DCDD">
      <w:pPr>
        <w:spacing w:after="0"/>
        <w:jc w:val="both"/>
        <w:rPr>
          <w:rFonts w:ascii="Arial Narrow" w:hAnsi="Arial Narrow"/>
          <w:sz w:val="16"/>
          <w:szCs w:val="16"/>
          <w:lang w:val="lv-LV"/>
        </w:rPr>
      </w:pPr>
      <w:r w:rsidRPr="000675CC">
        <w:rPr>
          <w:rFonts w:ascii="Arial Narrow" w:hAnsi="Arial Narrow"/>
          <w:sz w:val="16"/>
          <w:szCs w:val="16"/>
          <w:lang w:val="lv-LV"/>
        </w:rPr>
        <w:t>FVLCTS rādītāja noteikšana pārņemtām automašīnām tiek veikta individuāli pārņemšanas brīdī.</w:t>
      </w:r>
    </w:p>
    <w:p w:rsidR="003E3A3E" w:rsidRPr="000675CC" w:rsidP="001E6DAA" w14:paraId="787449FF" w14:textId="4787F2C9">
      <w:pPr>
        <w:spacing w:after="0"/>
        <w:jc w:val="both"/>
        <w:rPr>
          <w:rFonts w:ascii="Arial Narrow" w:hAnsi="Arial Narrow"/>
          <w:sz w:val="16"/>
          <w:szCs w:val="16"/>
          <w:lang w:val="lv-LV"/>
        </w:rPr>
        <w:sectPr w:rsidSect="00031DD0">
          <w:headerReference w:type="even" r:id="rId168"/>
          <w:headerReference w:type="default" r:id="rId169"/>
          <w:footerReference w:type="even" r:id="rId170"/>
          <w:footerReference w:type="default" r:id="rId171"/>
          <w:headerReference w:type="first" r:id="rId172"/>
          <w:footerReference w:type="first" r:id="rId173"/>
          <w:pgSz w:w="11906" w:h="16838"/>
          <w:pgMar w:top="1440" w:right="1134" w:bottom="1440" w:left="1440" w:header="431" w:footer="431" w:gutter="0"/>
          <w:pgBorders w:zOrder="front" w:display="allPages" w:offsetFrom="text">
            <w:top w:val="nil"/>
            <w:left w:val="nil"/>
            <w:bottom w:val="nil"/>
            <w:right w:val="nil"/>
          </w:pgBorders>
          <w:cols w:space="720"/>
          <w:vAlign w:val="top"/>
          <w:titlePg w:val="0"/>
          <w:rtlGutter w:val="0"/>
          <w:docGrid w:linePitch="360"/>
        </w:sectPr>
      </w:pPr>
      <w:r w:rsidRPr="000675CC">
        <w:rPr>
          <w:rFonts w:ascii="Arial Narrow" w:hAnsi="Arial Narrow"/>
          <w:sz w:val="16"/>
          <w:szCs w:val="16"/>
          <w:lang w:val="lv-LV"/>
        </w:rPr>
        <w:t>Vadības aplēšu pamatā ir dati par šādu aktīvu pārdošanas darījumiem, kas veikti iepriekšējos pār</w:t>
      </w:r>
      <w:r w:rsidRPr="000675CC">
        <w:rPr>
          <w:rFonts w:ascii="Arial Narrow" w:hAnsi="Arial Narrow"/>
          <w:sz w:val="16"/>
          <w:szCs w:val="16"/>
          <w:lang w:val="lv-LV"/>
        </w:rPr>
        <w:t>skata periodos. Koncerns izvērtē arī tādus faktorus kā iepriekšējo gadu faktiskie vidējie zaudējumi (ja tādi ir bijuši). Vadība izvērtē arī to, vai notikumi pēc pārskata perioda beigu datuma neliecina par to, ka šādu aktīvu pārdošanas cenas varētu samazinā</w:t>
      </w:r>
      <w:r w:rsidRPr="000675CC">
        <w:rPr>
          <w:rFonts w:ascii="Arial Narrow" w:hAnsi="Arial Narrow"/>
          <w:sz w:val="16"/>
          <w:szCs w:val="16"/>
          <w:lang w:val="lv-LV"/>
        </w:rPr>
        <w:t>ties.</w:t>
      </w:r>
    </w:p>
    <w:p w:rsidR="00331FD4" w:rsidRPr="000675CC" w:rsidP="00331FD4" w14:paraId="40FF71F4" w14:textId="78EFF071">
      <w:pPr>
        <w:spacing w:after="0"/>
        <w:jc w:val="both"/>
        <w:rPr>
          <w:rFonts w:ascii="Arial Narrow" w:hAnsi="Arial Narrow"/>
          <w:b/>
          <w:bCs/>
          <w:i/>
          <w:iCs/>
          <w:sz w:val="16"/>
          <w:szCs w:val="16"/>
          <w:lang w:val="lv-LV"/>
        </w:rPr>
      </w:pPr>
      <w:r w:rsidRPr="000675CC">
        <w:rPr>
          <w:rFonts w:ascii="Arial Narrow" w:hAnsi="Arial Narrow"/>
          <w:b/>
          <w:bCs/>
          <w:sz w:val="16"/>
          <w:szCs w:val="16"/>
          <w:lang w:val="lv-LV"/>
        </w:rPr>
        <w:t>3. Nozīmīgi grāmatvedības spriedumi, aplēses un pieņēmumi (turpinājums</w:t>
      </w:r>
      <w:r w:rsidRPr="000675CC">
        <w:rPr>
          <w:rFonts w:ascii="Arial Narrow" w:hAnsi="Arial Narrow"/>
          <w:b/>
          <w:bCs/>
          <w:i/>
          <w:iCs/>
          <w:sz w:val="16"/>
          <w:szCs w:val="16"/>
          <w:lang w:val="lv-LV"/>
        </w:rPr>
        <w:t>)</w:t>
      </w:r>
    </w:p>
    <w:p w:rsidR="00331FD4" w:rsidRPr="000675CC" w:rsidP="00331FD4" w14:paraId="22C37CA7" w14:textId="77777777">
      <w:pPr>
        <w:spacing w:after="0"/>
        <w:jc w:val="both"/>
        <w:rPr>
          <w:rFonts w:ascii="Arial Narrow" w:hAnsi="Arial Narrow"/>
          <w:b/>
          <w:bCs/>
          <w:i/>
          <w:iCs/>
          <w:sz w:val="16"/>
          <w:szCs w:val="16"/>
          <w:lang w:val="lv-LV"/>
        </w:rPr>
      </w:pP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p>
    <w:p w:rsidR="00331FD4" w:rsidP="00331FD4" w14:paraId="4091D26F" w14:textId="53867B57">
      <w:pPr>
        <w:spacing w:after="0"/>
        <w:jc w:val="both"/>
        <w:rPr>
          <w:rFonts w:ascii="Arial Narrow" w:hAnsi="Arial Narrow"/>
          <w:b/>
          <w:bCs/>
          <w:i/>
          <w:iCs/>
          <w:sz w:val="16"/>
          <w:szCs w:val="16"/>
          <w:lang w:val="lv-LV"/>
        </w:rPr>
      </w:pPr>
      <w:r w:rsidRPr="000675CC">
        <w:rPr>
          <w:rFonts w:ascii="Arial Narrow" w:hAnsi="Arial Narrow"/>
          <w:b/>
          <w:bCs/>
          <w:i/>
          <w:iCs/>
          <w:sz w:val="16"/>
          <w:szCs w:val="16"/>
          <w:lang w:val="lv-LV"/>
        </w:rPr>
        <w:t>Iegulto atvasināto instrumentu nošķiršana no galvenā līguma</w:t>
      </w:r>
    </w:p>
    <w:p w:rsidR="003B2972" w:rsidRPr="000675CC" w:rsidP="00331FD4" w14:paraId="6936AB78" w14:textId="77777777">
      <w:pPr>
        <w:spacing w:after="0"/>
        <w:jc w:val="both"/>
        <w:rPr>
          <w:rFonts w:ascii="Arial Narrow" w:hAnsi="Arial Narrow"/>
          <w:sz w:val="16"/>
          <w:szCs w:val="16"/>
          <w:lang w:val="lv-LV"/>
        </w:rPr>
      </w:pPr>
    </w:p>
    <w:p w:rsidR="00C13E90" w:rsidRPr="000675CC" w:rsidP="00C13E90" w14:paraId="5B079096"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 xml:space="preserve">Koncernam ir noslēgti atsevišķi pārdošanas vai pirkšanas iespējas līgumi (opcijas), kas var </w:t>
      </w:r>
      <w:r w:rsidRPr="000675CC">
        <w:rPr>
          <w:rFonts w:ascii="Arial Narrow" w:hAnsi="Arial Narrow"/>
          <w:sz w:val="16"/>
          <w:szCs w:val="16"/>
          <w:lang w:val="lv-LV"/>
        </w:rPr>
        <w:t>paātrināt emitēto obligāciju atmaksu. Šādas opcijas paredzētas obligāciju (galvenā līguma) prospektā un individuālos līgumos ar obligāciju turētājiem un atbilst iegulta atvasināta instrumenta definīcijai saskaņā ar SFPS Nr. 9.</w:t>
      </w:r>
    </w:p>
    <w:p w:rsidR="00C13E90" w:rsidRPr="000675CC" w:rsidP="00C13E90" w14:paraId="4C42A3BB"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Obligāciju prospektā iekļauta</w:t>
      </w:r>
      <w:r w:rsidRPr="000675CC">
        <w:rPr>
          <w:rFonts w:ascii="Arial Narrow" w:hAnsi="Arial Narrow"/>
          <w:sz w:val="16"/>
          <w:szCs w:val="16"/>
          <w:lang w:val="lv-LV"/>
        </w:rPr>
        <w:t xml:space="preserve"> pirkšanas iespēja dod Koncernam tiesības, bet ne pienākumu pilnībā vai daļēji priekšlaicīgi atpirkt esošas obligācijas ar 1% prēmiju. Līgumos ar atsevišķiem parādzīmju turētājiem iekļautās pārdošanas vai pirkšanas iespējas piešķir Koncernam un attiecīgaja</w:t>
      </w:r>
      <w:r w:rsidRPr="000675CC">
        <w:rPr>
          <w:rFonts w:ascii="Arial Narrow" w:hAnsi="Arial Narrow"/>
          <w:sz w:val="16"/>
          <w:szCs w:val="16"/>
          <w:lang w:val="lv-LV"/>
        </w:rPr>
        <w:t>m parādzīmes turētājam tiesības atpirkt vai pārdot parādzīmes pa izmantošanas cenu, kas ir vienāda ar attiecīgo parādzīmju amortizēto iegādes vērtību.</w:t>
      </w:r>
    </w:p>
    <w:p w:rsidR="00331FD4" w:rsidRPr="000675CC" w:rsidP="00C13E90" w14:paraId="0247D08B" w14:textId="33902396">
      <w:pPr>
        <w:spacing w:after="0"/>
        <w:ind w:firstLine="720"/>
        <w:jc w:val="both"/>
        <w:rPr>
          <w:rFonts w:ascii="Arial Narrow" w:hAnsi="Arial Narrow"/>
          <w:b/>
          <w:bCs/>
          <w:i/>
          <w:iCs/>
          <w:sz w:val="16"/>
          <w:szCs w:val="16"/>
          <w:lang w:val="lv-LV"/>
        </w:rPr>
      </w:pPr>
      <w:r w:rsidRPr="000675CC">
        <w:rPr>
          <w:rFonts w:ascii="Arial Narrow" w:hAnsi="Arial Narrow"/>
          <w:sz w:val="16"/>
          <w:szCs w:val="16"/>
          <w:lang w:val="lv-LV"/>
        </w:rPr>
        <w:t xml:space="preserve">Koncerna vadība ir izvērtējusi, ka iegultie atvasinātie instrumenti nav līgumiski atdalāmi, tie nav </w:t>
      </w:r>
      <w:r w:rsidRPr="000675CC">
        <w:rPr>
          <w:rFonts w:ascii="Arial Narrow" w:hAnsi="Arial Narrow"/>
          <w:sz w:val="16"/>
          <w:szCs w:val="16"/>
          <w:lang w:val="lv-LV"/>
        </w:rPr>
        <w:t>līgumiski pārņemami un tiem ir viens un tas pats darījumu partneris. Katras opcijas izmantošanas cena izmantošanas datumā ir aptuveni vienāda ar obligāciju amortizēto iegādes vērtību, tādēļ šie iegultie atvasinātie instrumenti nav atdalāmi no galvenā līgum</w:t>
      </w:r>
      <w:r w:rsidRPr="000675CC">
        <w:rPr>
          <w:rFonts w:ascii="Arial Narrow" w:hAnsi="Arial Narrow"/>
          <w:sz w:val="16"/>
          <w:szCs w:val="16"/>
          <w:lang w:val="lv-LV"/>
        </w:rPr>
        <w:t>a.</w:t>
      </w:r>
      <w:r w:rsidRPr="000675CC" w:rsidR="002F2103">
        <w:rPr>
          <w:rFonts w:ascii="Arial Narrow" w:hAnsi="Arial Narrow"/>
          <w:sz w:val="16"/>
          <w:szCs w:val="16"/>
          <w:lang w:val="lv-LV"/>
        </w:rPr>
        <w:tab/>
      </w:r>
      <w:r w:rsidRPr="000675CC" w:rsidR="002F2103">
        <w:rPr>
          <w:rFonts w:ascii="Arial Narrow" w:hAnsi="Arial Narrow"/>
          <w:b/>
          <w:bCs/>
          <w:i/>
          <w:iCs/>
          <w:sz w:val="16"/>
          <w:szCs w:val="16"/>
          <w:lang w:val="lv-LV"/>
        </w:rPr>
        <w:tab/>
      </w:r>
      <w:r w:rsidRPr="000675CC" w:rsidR="002F2103">
        <w:rPr>
          <w:rFonts w:ascii="Arial Narrow" w:hAnsi="Arial Narrow"/>
          <w:b/>
          <w:bCs/>
          <w:i/>
          <w:iCs/>
          <w:sz w:val="16"/>
          <w:szCs w:val="16"/>
          <w:lang w:val="lv-LV"/>
        </w:rPr>
        <w:tab/>
      </w:r>
      <w:r w:rsidRPr="000675CC" w:rsidR="002F2103">
        <w:rPr>
          <w:rFonts w:ascii="Arial Narrow" w:hAnsi="Arial Narrow"/>
          <w:b/>
          <w:bCs/>
          <w:i/>
          <w:iCs/>
          <w:sz w:val="16"/>
          <w:szCs w:val="16"/>
          <w:lang w:val="lv-LV"/>
        </w:rPr>
        <w:tab/>
      </w:r>
      <w:r w:rsidRPr="000675CC" w:rsidR="002F2103">
        <w:rPr>
          <w:rFonts w:ascii="Arial Narrow" w:hAnsi="Arial Narrow"/>
          <w:b/>
          <w:bCs/>
          <w:i/>
          <w:iCs/>
          <w:sz w:val="16"/>
          <w:szCs w:val="16"/>
          <w:lang w:val="lv-LV"/>
        </w:rPr>
        <w:tab/>
      </w:r>
      <w:r w:rsidRPr="000675CC" w:rsidR="002F2103">
        <w:rPr>
          <w:rFonts w:ascii="Arial Narrow" w:hAnsi="Arial Narrow"/>
          <w:b/>
          <w:bCs/>
          <w:i/>
          <w:iCs/>
          <w:sz w:val="16"/>
          <w:szCs w:val="16"/>
          <w:lang w:val="lv-LV"/>
        </w:rPr>
        <w:tab/>
      </w:r>
      <w:r w:rsidRPr="000675CC" w:rsidR="002F2103">
        <w:rPr>
          <w:rFonts w:ascii="Arial Narrow" w:hAnsi="Arial Narrow"/>
          <w:b/>
          <w:bCs/>
          <w:i/>
          <w:iCs/>
          <w:sz w:val="16"/>
          <w:szCs w:val="16"/>
          <w:lang w:val="lv-LV"/>
        </w:rPr>
        <w:tab/>
      </w:r>
      <w:r w:rsidRPr="000675CC" w:rsidR="002F2103">
        <w:rPr>
          <w:rFonts w:ascii="Arial Narrow" w:hAnsi="Arial Narrow"/>
          <w:b/>
          <w:bCs/>
          <w:i/>
          <w:iCs/>
          <w:sz w:val="16"/>
          <w:szCs w:val="16"/>
          <w:lang w:val="lv-LV"/>
        </w:rPr>
        <w:tab/>
      </w:r>
      <w:r w:rsidRPr="000675CC" w:rsidR="002F2103">
        <w:rPr>
          <w:rFonts w:ascii="Arial Narrow" w:hAnsi="Arial Narrow"/>
          <w:b/>
          <w:bCs/>
          <w:i/>
          <w:iCs/>
          <w:sz w:val="16"/>
          <w:szCs w:val="16"/>
          <w:lang w:val="lv-LV"/>
        </w:rPr>
        <w:tab/>
      </w:r>
    </w:p>
    <w:p w:rsidR="003B2972" w:rsidP="00331FD4" w14:paraId="57E6FD0B" w14:textId="77777777">
      <w:pPr>
        <w:spacing w:after="0"/>
        <w:jc w:val="both"/>
        <w:rPr>
          <w:rFonts w:ascii="Arial Narrow" w:hAnsi="Arial Narrow"/>
          <w:b/>
          <w:bCs/>
          <w:i/>
          <w:iCs/>
          <w:sz w:val="16"/>
          <w:szCs w:val="16"/>
          <w:lang w:val="lv-LV"/>
        </w:rPr>
      </w:pPr>
      <w:r w:rsidRPr="000675CC">
        <w:rPr>
          <w:rFonts w:ascii="Arial Narrow" w:hAnsi="Arial Narrow"/>
          <w:b/>
          <w:bCs/>
          <w:i/>
          <w:iCs/>
          <w:sz w:val="16"/>
          <w:szCs w:val="16"/>
          <w:lang w:val="lv-LV"/>
        </w:rPr>
        <w:t>Finanšu garantijas</w:t>
      </w:r>
      <w:r w:rsidRPr="000675CC">
        <w:rPr>
          <w:rFonts w:ascii="Arial Narrow" w:hAnsi="Arial Narrow"/>
          <w:b/>
          <w:bCs/>
          <w:i/>
          <w:iCs/>
          <w:sz w:val="16"/>
          <w:szCs w:val="16"/>
          <w:lang w:val="lv-LV"/>
        </w:rPr>
        <w:tab/>
      </w:r>
    </w:p>
    <w:p w:rsidR="00331FD4" w:rsidRPr="000675CC" w:rsidP="00331FD4" w14:paraId="18180AB6" w14:textId="402EA118">
      <w:pPr>
        <w:spacing w:after="0"/>
        <w:jc w:val="both"/>
        <w:rPr>
          <w:rFonts w:ascii="Arial Narrow" w:hAnsi="Arial Narrow"/>
          <w:b/>
          <w:bCs/>
          <w:i/>
          <w:iCs/>
          <w:sz w:val="16"/>
          <w:szCs w:val="16"/>
          <w:lang w:val="lv-LV"/>
        </w:rPr>
      </w:pP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p>
    <w:p w:rsidR="00331FD4" w:rsidRPr="000675CC" w:rsidP="00331FD4" w14:paraId="6D5FB405" w14:textId="77777777">
      <w:pPr>
        <w:spacing w:after="0"/>
        <w:jc w:val="both"/>
        <w:rPr>
          <w:rFonts w:ascii="Arial Narrow" w:hAnsi="Arial Narrow"/>
          <w:i/>
          <w:iCs/>
          <w:sz w:val="16"/>
          <w:szCs w:val="16"/>
          <w:lang w:val="lv-LV"/>
        </w:rPr>
      </w:pPr>
      <w:r w:rsidRPr="000675CC">
        <w:rPr>
          <w:rFonts w:ascii="Arial Narrow" w:hAnsi="Arial Narrow"/>
          <w:i/>
          <w:iCs/>
          <w:sz w:val="16"/>
          <w:szCs w:val="16"/>
          <w:lang w:val="lv-LV"/>
        </w:rPr>
        <w:t>Patiesās vērtības (PV) noteikšana un sākotnējā atzīšana</w:t>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r w:rsidRPr="000675CC">
        <w:rPr>
          <w:rFonts w:ascii="Arial Narrow" w:hAnsi="Arial Narrow"/>
          <w:i/>
          <w:iCs/>
          <w:sz w:val="16"/>
          <w:szCs w:val="16"/>
          <w:lang w:val="lv-LV"/>
        </w:rPr>
        <w:tab/>
      </w:r>
    </w:p>
    <w:p w:rsidR="00F36B4F" w:rsidRPr="000675CC" w:rsidP="00F36B4F" w14:paraId="2B79F13B" w14:textId="7E45D947">
      <w:pPr>
        <w:spacing w:after="0"/>
        <w:ind w:firstLine="720"/>
        <w:jc w:val="both"/>
        <w:rPr>
          <w:rFonts w:ascii="Arial Narrow" w:hAnsi="Arial Narrow"/>
          <w:sz w:val="16"/>
          <w:szCs w:val="16"/>
          <w:lang w:val="lv-LV"/>
        </w:rPr>
      </w:pPr>
      <w:r w:rsidRPr="000675CC">
        <w:rPr>
          <w:rFonts w:ascii="Arial Narrow" w:hAnsi="Arial Narrow"/>
          <w:sz w:val="16"/>
          <w:szCs w:val="16"/>
          <w:lang w:val="lv-LV"/>
        </w:rPr>
        <w:t>Koncerns ir izvēlējies noteikt garantiju patieso vērtību, izmantojot sagaidāmo kredītzaudējumu novērtēšanas metodi. Garantijas patiesā vērtība tiek no</w:t>
      </w:r>
      <w:r w:rsidRPr="000675CC">
        <w:rPr>
          <w:rFonts w:ascii="Arial Narrow" w:hAnsi="Arial Narrow"/>
          <w:sz w:val="16"/>
          <w:szCs w:val="16"/>
          <w:lang w:val="lv-LV"/>
        </w:rPr>
        <w:t xml:space="preserve">teikta kā EAD, SNV un ZSN rādītāju reizinātājs. EAD nosaka, balstoties uz līgumā noteiktās garantijas garantēto summu (39.pielikums) un izvērtējot </w:t>
      </w:r>
      <w:r w:rsidRPr="000675CC" w:rsidR="003B4B03">
        <w:rPr>
          <w:rFonts w:ascii="Arial Narrow" w:hAnsi="Arial Narrow"/>
          <w:sz w:val="16"/>
          <w:szCs w:val="16"/>
          <w:lang w:val="lv-LV"/>
        </w:rPr>
        <w:t xml:space="preserve">Koncerna </w:t>
      </w:r>
      <w:r w:rsidRPr="000675CC">
        <w:rPr>
          <w:rFonts w:ascii="Arial Narrow" w:hAnsi="Arial Narrow"/>
          <w:sz w:val="16"/>
          <w:szCs w:val="16"/>
          <w:lang w:val="lv-LV"/>
        </w:rPr>
        <w:t>proporcionālo daļu no garantētās summas, kas aplēsta, ņemot vērā garantiju sniedzēju (</w:t>
      </w:r>
      <w:r w:rsidRPr="000675CC" w:rsidR="003B4B03">
        <w:rPr>
          <w:rFonts w:ascii="Arial Narrow" w:hAnsi="Arial Narrow"/>
          <w:sz w:val="16"/>
          <w:szCs w:val="16"/>
          <w:lang w:val="lv-LV"/>
        </w:rPr>
        <w:t>Koncern</w:t>
      </w:r>
      <w:r w:rsidRPr="000675CC">
        <w:rPr>
          <w:rFonts w:ascii="Arial Narrow" w:hAnsi="Arial Narrow"/>
          <w:sz w:val="16"/>
          <w:szCs w:val="16"/>
          <w:lang w:val="lv-LV"/>
        </w:rPr>
        <w:t xml:space="preserve">a un </w:t>
      </w:r>
      <w:r w:rsidRPr="000675CC">
        <w:rPr>
          <w:rFonts w:ascii="Arial Narrow" w:hAnsi="Arial Narrow"/>
          <w:sz w:val="16"/>
          <w:szCs w:val="16"/>
          <w:lang w:val="lv-LV"/>
        </w:rPr>
        <w:t>citas Eleving Group S.A. meitas sabiedrības) aktīvu kopsummu tā pārskata perioda beigās, kurā ir ietverts attiecīgais garantiju līgums.</w:t>
      </w:r>
    </w:p>
    <w:p w:rsidR="00331FD4" w:rsidRPr="000675CC" w:rsidP="00F36B4F" w14:paraId="5E512A05" w14:textId="0B5B73AC">
      <w:pPr>
        <w:spacing w:after="0"/>
        <w:ind w:firstLine="720"/>
        <w:jc w:val="both"/>
        <w:rPr>
          <w:rFonts w:ascii="Arial Narrow" w:hAnsi="Arial Narrow"/>
          <w:sz w:val="16"/>
          <w:szCs w:val="16"/>
          <w:lang w:val="lv-LV"/>
        </w:rPr>
      </w:pPr>
      <w:r w:rsidRPr="000675CC">
        <w:rPr>
          <w:rFonts w:ascii="Arial Narrow" w:hAnsi="Arial Narrow"/>
          <w:sz w:val="16"/>
          <w:szCs w:val="16"/>
          <w:lang w:val="lv-LV"/>
        </w:rPr>
        <w:t>Garantija ir izsniegta, lai nodrošinātu Koncerna mātes sabiedrības Eleving Group S.A. obligāciju emisiju. Koncernam rast</w:t>
      </w:r>
      <w:r w:rsidRPr="000675CC">
        <w:rPr>
          <w:rFonts w:ascii="Arial Narrow" w:hAnsi="Arial Narrow"/>
          <w:sz w:val="16"/>
          <w:szCs w:val="16"/>
          <w:lang w:val="lv-LV"/>
        </w:rPr>
        <w:t xml:space="preserve">os zaudējumi, ja Eleving Group S.A. nepildītu savas saistības pret obligāciju turētājiem. Tādējādi Eleving Group S.A. PD rādītājs ir noteikts, salīdzinot ar datiem par sabiedrību ar līdzīgu kredītrisku un tirgus darījumiem, kā arī kredītreitinga aģentūras </w:t>
      </w:r>
      <w:r w:rsidRPr="000675CC">
        <w:rPr>
          <w:rFonts w:ascii="Arial Narrow" w:hAnsi="Arial Narrow"/>
          <w:sz w:val="16"/>
          <w:szCs w:val="16"/>
          <w:lang w:val="lv-LV"/>
        </w:rPr>
        <w:t>Fitch Ratings sniegtiem saistību neizpildes rādītājiem.</w:t>
      </w:r>
      <w:r w:rsidRPr="000675CC" w:rsidR="002F2103">
        <w:rPr>
          <w:rFonts w:ascii="Arial Narrow" w:hAnsi="Arial Narrow"/>
          <w:sz w:val="16"/>
          <w:szCs w:val="16"/>
          <w:lang w:val="lv-LV"/>
        </w:rPr>
        <w:tab/>
      </w:r>
      <w:r w:rsidRPr="000675CC" w:rsidR="002F2103">
        <w:rPr>
          <w:rFonts w:ascii="Arial Narrow" w:hAnsi="Arial Narrow"/>
          <w:sz w:val="16"/>
          <w:szCs w:val="16"/>
          <w:lang w:val="lv-LV"/>
        </w:rPr>
        <w:tab/>
      </w:r>
      <w:r w:rsidRPr="000675CC" w:rsidR="002F2103">
        <w:rPr>
          <w:rFonts w:ascii="Arial Narrow" w:hAnsi="Arial Narrow"/>
          <w:sz w:val="16"/>
          <w:szCs w:val="16"/>
          <w:lang w:val="lv-LV"/>
        </w:rPr>
        <w:tab/>
      </w:r>
      <w:r w:rsidRPr="000675CC" w:rsidR="002F2103">
        <w:rPr>
          <w:rFonts w:ascii="Arial Narrow" w:hAnsi="Arial Narrow"/>
          <w:sz w:val="16"/>
          <w:szCs w:val="16"/>
          <w:lang w:val="lv-LV"/>
        </w:rPr>
        <w:tab/>
      </w:r>
      <w:r w:rsidRPr="000675CC" w:rsidR="002F2103">
        <w:rPr>
          <w:rFonts w:ascii="Arial Narrow" w:hAnsi="Arial Narrow"/>
          <w:sz w:val="16"/>
          <w:szCs w:val="16"/>
          <w:lang w:val="lv-LV"/>
        </w:rPr>
        <w:tab/>
      </w:r>
      <w:r w:rsidRPr="000675CC" w:rsidR="002F2103">
        <w:rPr>
          <w:rFonts w:ascii="Arial Narrow" w:hAnsi="Arial Narrow"/>
          <w:sz w:val="16"/>
          <w:szCs w:val="16"/>
          <w:lang w:val="lv-LV"/>
        </w:rPr>
        <w:tab/>
      </w:r>
      <w:r w:rsidRPr="000675CC" w:rsidR="002F2103">
        <w:rPr>
          <w:rFonts w:ascii="Arial Narrow" w:hAnsi="Arial Narrow"/>
          <w:sz w:val="16"/>
          <w:szCs w:val="16"/>
          <w:lang w:val="lv-LV"/>
        </w:rPr>
        <w:tab/>
      </w:r>
      <w:r w:rsidRPr="000675CC" w:rsidR="002F2103">
        <w:rPr>
          <w:rFonts w:ascii="Arial Narrow" w:hAnsi="Arial Narrow"/>
          <w:sz w:val="16"/>
          <w:szCs w:val="16"/>
          <w:lang w:val="lv-LV"/>
        </w:rPr>
        <w:tab/>
      </w:r>
      <w:r w:rsidRPr="000675CC" w:rsidR="002F2103">
        <w:rPr>
          <w:rFonts w:ascii="Arial Narrow" w:hAnsi="Arial Narrow"/>
          <w:sz w:val="16"/>
          <w:szCs w:val="16"/>
          <w:lang w:val="lv-LV"/>
        </w:rPr>
        <w:tab/>
      </w:r>
    </w:p>
    <w:p w:rsidR="00331FD4" w:rsidRPr="000675CC" w:rsidP="00331FD4" w14:paraId="6AC5F0DC" w14:textId="4358EE34">
      <w:pPr>
        <w:spacing w:after="0"/>
        <w:jc w:val="both"/>
        <w:rPr>
          <w:rFonts w:ascii="Arial Narrow" w:hAnsi="Arial Narrow"/>
          <w:i/>
          <w:iCs/>
          <w:sz w:val="16"/>
          <w:szCs w:val="16"/>
          <w:lang w:val="lv-LV"/>
        </w:rPr>
      </w:pPr>
      <w:r w:rsidRPr="000675CC">
        <w:rPr>
          <w:rFonts w:ascii="Arial Narrow" w:hAnsi="Arial Narrow"/>
          <w:i/>
          <w:iCs/>
          <w:sz w:val="16"/>
          <w:szCs w:val="16"/>
          <w:lang w:val="lv-LV"/>
        </w:rPr>
        <w:t>Sagaidāmo kredītzaudējumu noteikšana turpmākas novērtēšanas nolūkā</w:t>
      </w:r>
    </w:p>
    <w:p w:rsidR="00F36B4F" w:rsidRPr="000675CC" w:rsidP="00D4596E" w14:paraId="5429A448"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Patiesās vērtības aplēšanai Koncerns izmanto līdzīga kredītriska sabiedrības, piemēram, Koncerna mātes sabiedrības Eleving G</w:t>
      </w:r>
      <w:r w:rsidRPr="000675CC">
        <w:rPr>
          <w:rFonts w:ascii="Arial Narrow" w:hAnsi="Arial Narrow"/>
          <w:sz w:val="16"/>
          <w:szCs w:val="16"/>
          <w:lang w:val="lv-LV"/>
        </w:rPr>
        <w:t xml:space="preserve">roup S.A. salīdzinošos datus. </w:t>
      </w:r>
    </w:p>
    <w:p w:rsidR="00331FD4" w:rsidRPr="000675CC" w:rsidP="00F36B4F" w14:paraId="3251BA2C" w14:textId="5C904C13">
      <w:pPr>
        <w:spacing w:after="0"/>
        <w:jc w:val="both"/>
        <w:rPr>
          <w:rFonts w:ascii="Arial Narrow" w:hAnsi="Arial Narrow"/>
          <w:sz w:val="16"/>
          <w:szCs w:val="16"/>
          <w:lang w:val="lv-LV"/>
        </w:rPr>
      </w:pPr>
      <w:r w:rsidRPr="000675CC">
        <w:rPr>
          <w:rFonts w:ascii="Arial Narrow" w:hAnsi="Arial Narrow"/>
          <w:sz w:val="16"/>
          <w:szCs w:val="16"/>
          <w:lang w:val="lv-LV"/>
        </w:rPr>
        <w:t>Kopš sākotnējā atzīšanas Koncerns ir novērtējis, ka Koncerna mātes sabiedrības kredītrisks nav pieaudzis, un tāpēc garantijas saistības tiek uzskatītas par 1.stadijas riska darījumu.</w:t>
      </w:r>
      <w:r w:rsidRPr="000675CC" w:rsidR="002F2103">
        <w:rPr>
          <w:rFonts w:ascii="Arial Narrow" w:hAnsi="Arial Narrow"/>
          <w:sz w:val="16"/>
          <w:szCs w:val="16"/>
          <w:lang w:val="lv-LV"/>
        </w:rPr>
        <w:tab/>
      </w:r>
      <w:r w:rsidRPr="000675CC" w:rsidR="002F2103">
        <w:rPr>
          <w:rFonts w:ascii="Arial Narrow" w:hAnsi="Arial Narrow"/>
          <w:sz w:val="16"/>
          <w:szCs w:val="16"/>
          <w:lang w:val="lv-LV"/>
        </w:rPr>
        <w:tab/>
      </w:r>
      <w:r w:rsidRPr="000675CC" w:rsidR="002F2103">
        <w:rPr>
          <w:rFonts w:ascii="Arial Narrow" w:hAnsi="Arial Narrow"/>
          <w:sz w:val="16"/>
          <w:szCs w:val="16"/>
          <w:lang w:val="lv-LV"/>
        </w:rPr>
        <w:tab/>
      </w:r>
      <w:r w:rsidRPr="000675CC" w:rsidR="002F2103">
        <w:rPr>
          <w:rFonts w:ascii="Arial Narrow" w:hAnsi="Arial Narrow"/>
          <w:sz w:val="16"/>
          <w:szCs w:val="16"/>
          <w:lang w:val="lv-LV"/>
        </w:rPr>
        <w:tab/>
      </w:r>
      <w:r w:rsidRPr="000675CC" w:rsidR="002F2103">
        <w:rPr>
          <w:rFonts w:ascii="Arial Narrow" w:hAnsi="Arial Narrow"/>
          <w:sz w:val="16"/>
          <w:szCs w:val="16"/>
          <w:lang w:val="lv-LV"/>
        </w:rPr>
        <w:tab/>
      </w:r>
      <w:r w:rsidRPr="000675CC" w:rsidR="002F2103">
        <w:rPr>
          <w:rFonts w:ascii="Arial Narrow" w:hAnsi="Arial Narrow"/>
          <w:sz w:val="16"/>
          <w:szCs w:val="16"/>
          <w:lang w:val="lv-LV"/>
        </w:rPr>
        <w:tab/>
      </w:r>
      <w:r w:rsidRPr="000675CC" w:rsidR="002F2103">
        <w:rPr>
          <w:rFonts w:ascii="Arial Narrow" w:hAnsi="Arial Narrow"/>
          <w:sz w:val="16"/>
          <w:szCs w:val="16"/>
          <w:lang w:val="lv-LV"/>
        </w:rPr>
        <w:tab/>
      </w:r>
      <w:r w:rsidRPr="000675CC" w:rsidR="002F2103">
        <w:rPr>
          <w:rFonts w:ascii="Arial Narrow" w:hAnsi="Arial Narrow"/>
          <w:sz w:val="16"/>
          <w:szCs w:val="16"/>
          <w:lang w:val="lv-LV"/>
        </w:rPr>
        <w:tab/>
      </w:r>
      <w:r w:rsidRPr="000675CC" w:rsidR="002F2103">
        <w:rPr>
          <w:rFonts w:ascii="Arial Narrow" w:hAnsi="Arial Narrow"/>
          <w:sz w:val="16"/>
          <w:szCs w:val="16"/>
          <w:lang w:val="lv-LV"/>
        </w:rPr>
        <w:tab/>
      </w:r>
    </w:p>
    <w:p w:rsidR="00331FD4" w:rsidP="00331FD4" w14:paraId="045FF644" w14:textId="715D05E3">
      <w:pPr>
        <w:spacing w:after="0"/>
        <w:jc w:val="both"/>
        <w:rPr>
          <w:rFonts w:ascii="Arial Narrow" w:hAnsi="Arial Narrow"/>
          <w:b/>
          <w:bCs/>
          <w:i/>
          <w:iCs/>
          <w:sz w:val="16"/>
          <w:szCs w:val="16"/>
          <w:lang w:val="lv-LV"/>
        </w:rPr>
      </w:pPr>
      <w:r w:rsidRPr="000675CC">
        <w:rPr>
          <w:rFonts w:ascii="Arial Narrow" w:hAnsi="Arial Narrow"/>
          <w:b/>
          <w:bCs/>
          <w:i/>
          <w:iCs/>
          <w:sz w:val="16"/>
          <w:szCs w:val="16"/>
          <w:lang w:val="lv-LV"/>
        </w:rPr>
        <w:t xml:space="preserve">Nomas termiņa noteikšana saskaņā </w:t>
      </w:r>
      <w:r w:rsidRPr="000675CC">
        <w:rPr>
          <w:rFonts w:ascii="Arial Narrow" w:hAnsi="Arial Narrow"/>
          <w:b/>
          <w:bCs/>
          <w:i/>
          <w:iCs/>
          <w:sz w:val="16"/>
          <w:szCs w:val="16"/>
          <w:lang w:val="lv-LV"/>
        </w:rPr>
        <w:t>ar SFPS Nr.16 (Koncerns kā nomnieks)</w:t>
      </w:r>
    </w:p>
    <w:p w:rsidR="003B2972" w:rsidRPr="000675CC" w:rsidP="00331FD4" w14:paraId="18B7D9DE" w14:textId="77777777">
      <w:pPr>
        <w:spacing w:after="0"/>
        <w:jc w:val="both"/>
        <w:rPr>
          <w:rFonts w:ascii="Arial Narrow" w:hAnsi="Arial Narrow"/>
          <w:b/>
          <w:bCs/>
          <w:i/>
          <w:iCs/>
          <w:sz w:val="16"/>
          <w:szCs w:val="16"/>
          <w:lang w:val="lv-LV"/>
        </w:rPr>
      </w:pPr>
    </w:p>
    <w:p w:rsidR="00CD105A" w:rsidRPr="000675CC" w:rsidP="00CD105A" w14:paraId="7F948F23"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 xml:space="preserve">Nomas termiņa noteikšanā saskaņā ar SFPS Nr.16 un neatceļamā nomas perioda ilguma noteikšanā uzņēmumam ir jāpiemēro līguma definīcija saskaņā ar SFPS Nr.15 un </w:t>
      </w:r>
      <w:r w:rsidRPr="000675CC">
        <w:rPr>
          <w:rFonts w:ascii="Arial Narrow" w:hAnsi="Arial Narrow"/>
          <w:sz w:val="16"/>
          <w:szCs w:val="16"/>
          <w:lang w:val="lv-LV"/>
        </w:rPr>
        <w:t xml:space="preserve">jānosaka periods, kurā līgums ir spēkā. Nosakot nomas termiņu, Koncerns ņem vērā abu pušu tiesības un pienākumus. Ja līguma darbību jebkurā laikā vai pēc neatceļamā nomas perioda beigām var pārtraukt gan iznomātājs, gan nomnieks un nemaksāt par to būtisku </w:t>
      </w:r>
      <w:r w:rsidRPr="000675CC">
        <w:rPr>
          <w:rFonts w:ascii="Arial Narrow" w:hAnsi="Arial Narrow"/>
          <w:sz w:val="16"/>
          <w:szCs w:val="16"/>
          <w:lang w:val="lv-LV"/>
        </w:rPr>
        <w:t>soda naudu, tas nozīmē, ka pēc neatceļamā perioda nepastāv spēkā esošas tiesības un pienākumi. Nomas līgumiem bez fiksēta termiņa un līgumiem, kas katru mēnesi tiek pagarināti, līdz kāda no pusēm paziņo par līguma pārtraukšanu, Koncerns uzskata, ka šo līgu</w:t>
      </w:r>
      <w:r w:rsidRPr="000675CC">
        <w:rPr>
          <w:rFonts w:ascii="Arial Narrow" w:hAnsi="Arial Narrow"/>
          <w:sz w:val="16"/>
          <w:szCs w:val="16"/>
          <w:lang w:val="lv-LV"/>
        </w:rPr>
        <w:t>mu ietvaros tam nav īstenojamas tiesības un pienākumi, tāpēc tiek izdarītas pamatotas aplēses par nomas termiņu.</w:t>
      </w:r>
    </w:p>
    <w:p w:rsidR="00CD105A" w:rsidRPr="000675CC" w:rsidP="00CD105A" w14:paraId="68D548CD"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Apsverot Koncerna iespējas pagarināt vai nepārtraukt nomas līgumu, Koncerns novērtē Koncerna un iznomātāja tiesības šādas iespējas robežās. Kon</w:t>
      </w:r>
      <w:r w:rsidRPr="000675CC">
        <w:rPr>
          <w:rFonts w:ascii="Arial Narrow" w:hAnsi="Arial Narrow"/>
          <w:sz w:val="16"/>
          <w:szCs w:val="16"/>
          <w:lang w:val="lv-LV"/>
        </w:rPr>
        <w:t>cerns apsver, vai nomas līgumos ietvertās iespējas (1) sniedz vienpusējas tiesības vienai pusei (t.i., Koncernam) un (2) rada pienākumu otrai pusei šīs tiesības ievērot (t.i., iznomātājam). Ja nevienai līgumslēdzējai pusei nav pienākuma, Koncerna novērtēju</w:t>
      </w:r>
      <w:r w:rsidRPr="000675CC">
        <w:rPr>
          <w:rFonts w:ascii="Arial Narrow" w:hAnsi="Arial Narrow"/>
          <w:sz w:val="16"/>
          <w:szCs w:val="16"/>
          <w:lang w:val="lv-LV"/>
        </w:rPr>
        <w:t>ms ir tāds, ka nomas līguma termiņa izvērtēšanas kontekstā opcijas netiks izskatītas. Šādā gadījumā nomas līguma termiņš nepārsniedz neatceļamo līgumtermiņu. Nosakot nomas termiņu, Koncerns izvērtē nomas līgumu noteiktās soda naudas, kā arī ekonomiskos sti</w:t>
      </w:r>
      <w:r w:rsidRPr="000675CC">
        <w:rPr>
          <w:rFonts w:ascii="Arial Narrow" w:hAnsi="Arial Narrow"/>
          <w:sz w:val="16"/>
          <w:szCs w:val="16"/>
          <w:lang w:val="lv-LV"/>
        </w:rPr>
        <w:t>mulus nomas līgumu pagarināšanai, piemēram, vai pamatā esošais  aktīvs ir stratēģisks.</w:t>
      </w:r>
    </w:p>
    <w:p w:rsidR="00331FD4" w:rsidRPr="000675CC" w:rsidP="00CD105A" w14:paraId="5548318D" w14:textId="39E6DDBC">
      <w:pPr>
        <w:spacing w:after="0"/>
        <w:jc w:val="both"/>
        <w:rPr>
          <w:rFonts w:ascii="Arial Narrow" w:hAnsi="Arial Narrow"/>
          <w:sz w:val="16"/>
          <w:szCs w:val="16"/>
          <w:lang w:val="lv-LV"/>
        </w:rPr>
      </w:pP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331FD4" w:rsidP="00331FD4" w14:paraId="4DA1D09A" w14:textId="602DCBA0">
      <w:pPr>
        <w:spacing w:after="0"/>
        <w:jc w:val="both"/>
        <w:rPr>
          <w:rFonts w:ascii="Arial Narrow" w:hAnsi="Arial Narrow"/>
          <w:b/>
          <w:bCs/>
          <w:i/>
          <w:iCs/>
          <w:sz w:val="16"/>
          <w:szCs w:val="16"/>
          <w:lang w:val="lv-LV"/>
        </w:rPr>
      </w:pPr>
      <w:r w:rsidRPr="000675CC">
        <w:rPr>
          <w:rFonts w:ascii="Arial Narrow" w:hAnsi="Arial Narrow"/>
          <w:b/>
          <w:bCs/>
          <w:i/>
          <w:iCs/>
          <w:sz w:val="16"/>
          <w:szCs w:val="16"/>
          <w:lang w:val="lv-LV"/>
        </w:rPr>
        <w:t>Nomas saistību pieaugošās aizņēmumu likmes noteikšana saskaņā ar SFPS Nr.16 (Koncerns kā nomnieks)</w:t>
      </w:r>
    </w:p>
    <w:p w:rsidR="003B2972" w:rsidRPr="000675CC" w:rsidP="00331FD4" w14:paraId="57E998E2" w14:textId="77777777">
      <w:pPr>
        <w:spacing w:after="0"/>
        <w:jc w:val="both"/>
        <w:rPr>
          <w:rFonts w:ascii="Arial Narrow" w:hAnsi="Arial Narrow"/>
          <w:b/>
          <w:bCs/>
          <w:i/>
          <w:iCs/>
          <w:sz w:val="16"/>
          <w:szCs w:val="16"/>
          <w:lang w:val="lv-LV"/>
        </w:rPr>
      </w:pPr>
    </w:p>
    <w:p w:rsidR="00CD105A" w:rsidRPr="000675CC" w:rsidP="00CD105A" w14:paraId="626759E5"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Nomas saistības sākotnēji novērtē to nomas maksājumu pašreizē</w:t>
      </w:r>
      <w:r w:rsidRPr="000675CC">
        <w:rPr>
          <w:rFonts w:ascii="Arial Narrow" w:hAnsi="Arial Narrow"/>
          <w:sz w:val="16"/>
          <w:szCs w:val="16"/>
          <w:lang w:val="lv-LV"/>
        </w:rPr>
        <w:t>jā vērtībā, kas nomas sākuma datumā nav samaksāti, diskontējot ar nomas netiešo procentu likmi vai, ja tā nav viegli pieejama, tad ar Koncerna pieaugošo aizņēmumu likmi. Kopumā Koncerns izmanto pieaugošo aizņēmuma likmi kā diskonta likmi.</w:t>
      </w:r>
    </w:p>
    <w:p w:rsidR="00CD105A" w:rsidRPr="000675CC" w:rsidP="00CD105A" w14:paraId="31F090E4"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Koncerns ir izman</w:t>
      </w:r>
      <w:r w:rsidRPr="000675CC">
        <w:rPr>
          <w:rFonts w:ascii="Arial Narrow" w:hAnsi="Arial Narrow"/>
          <w:sz w:val="16"/>
          <w:szCs w:val="16"/>
          <w:lang w:val="lv-LV"/>
        </w:rPr>
        <w:t>tojis tirgus likmes kā pieaugošās aizņēmuma likmi. Koncerns uzskata izmantotās tirgus likmes par atbilstošu mēru pieaugošo aizņēmuma likmju noteikšanā, jo tās precīzi atspoguļo Koncerna spēju finansēt konkrētu aktīvu iegādi.</w:t>
      </w:r>
    </w:p>
    <w:p w:rsidR="00CD105A" w:rsidRPr="000675CC" w:rsidP="00CD105A" w14:paraId="00907988"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Pēc tam tiek apsvērta vietējo a</w:t>
      </w:r>
      <w:r w:rsidRPr="000675CC">
        <w:rPr>
          <w:rFonts w:ascii="Arial Narrow" w:hAnsi="Arial Narrow"/>
          <w:sz w:val="16"/>
          <w:szCs w:val="16"/>
          <w:lang w:val="lv-LV"/>
        </w:rPr>
        <w:t>izdevēju pieeja aktīvu finansēšanai katrā līmenī. Saskaņā ar Koncerna novērtējumu, ņemot vērā Koncerna vispārējos rezultātus, katra Koncerna meitas sabiedrība ir labas kvalitātes aizņēmējs tās vietējā tirgū.</w:t>
      </w:r>
    </w:p>
    <w:p w:rsidR="00331FD4" w:rsidRPr="000675CC" w:rsidP="00CD105A" w14:paraId="29ED87F4" w14:textId="340A0C8E">
      <w:pPr>
        <w:spacing w:after="0"/>
        <w:jc w:val="both"/>
        <w:rPr>
          <w:rFonts w:ascii="Arial Narrow" w:hAnsi="Arial Narrow"/>
          <w:sz w:val="16"/>
          <w:szCs w:val="16"/>
          <w:lang w:val="lv-LV"/>
        </w:rPr>
      </w:pP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331FD4" w:rsidRPr="000675CC" w:rsidP="00331FD4" w14:paraId="18856B71" w14:textId="77777777">
      <w:pPr>
        <w:spacing w:after="0"/>
        <w:jc w:val="both"/>
        <w:rPr>
          <w:rFonts w:ascii="Arial Narrow" w:hAnsi="Arial Narrow"/>
          <w:b/>
          <w:bCs/>
          <w:i/>
          <w:iCs/>
          <w:sz w:val="16"/>
          <w:szCs w:val="16"/>
          <w:lang w:val="lv-LV"/>
        </w:rPr>
      </w:pPr>
      <w:r w:rsidRPr="000675CC">
        <w:rPr>
          <w:rFonts w:ascii="Arial Narrow" w:hAnsi="Arial Narrow"/>
          <w:b/>
          <w:bCs/>
          <w:i/>
          <w:iCs/>
          <w:sz w:val="16"/>
          <w:szCs w:val="16"/>
          <w:lang w:val="lv-LV"/>
        </w:rPr>
        <w:t xml:space="preserve">Pārdošanas darījumi ar </w:t>
      </w:r>
      <w:r w:rsidRPr="000675CC">
        <w:rPr>
          <w:rFonts w:ascii="Arial Narrow" w:hAnsi="Arial Narrow"/>
          <w:b/>
          <w:bCs/>
          <w:i/>
          <w:iCs/>
          <w:sz w:val="16"/>
          <w:szCs w:val="16"/>
          <w:lang w:val="lv-LV"/>
        </w:rPr>
        <w:t>saņemšanu atpakaļ nomā</w:t>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p>
    <w:p w:rsidR="002F2103" w:rsidRPr="000675CC" w:rsidP="002F2103" w14:paraId="5566CA9D"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 xml:space="preserve">Pārdošanas darījums ar saņemšanu atpakaļ nomā ir darījums, kura ietvaros Koncerns iegādājas aktīvu un tad šo pašu aktīvu iznomā tam pašam klientam. Lai noteiktu, kā uzskaitīt  pārdošanas darījumus ar saņemšanu atpakaļ nomā, </w:t>
      </w:r>
      <w:r w:rsidRPr="000675CC">
        <w:rPr>
          <w:rFonts w:ascii="Arial Narrow" w:hAnsi="Arial Narrow"/>
          <w:sz w:val="16"/>
          <w:szCs w:val="16"/>
          <w:lang w:val="lv-LV"/>
        </w:rPr>
        <w:t xml:space="preserve">Koncerns vispirms izvērtē, vai  nomas aktīva sākotnējo nodošanu no pārdevēja-nomnieka (Klienta) pircējam-iznomātājam (Koncernam)  var uzskatīt par pārdošanas darījumu. Lai noteiktu, vai pārdošanas darījums ir noticis, Koncerns piemēro 15. SFPS prasības.  </w:t>
      </w:r>
    </w:p>
    <w:p w:rsidR="002F2103" w:rsidRPr="000675CC" w:rsidP="00331FD4" w14:paraId="0553735A" w14:textId="77777777">
      <w:pPr>
        <w:spacing w:after="0"/>
        <w:jc w:val="both"/>
        <w:rPr>
          <w:rFonts w:ascii="Arial Narrow" w:hAnsi="Arial Narrow"/>
          <w:sz w:val="16"/>
          <w:szCs w:val="16"/>
          <w:lang w:val="lv-LV"/>
        </w:rPr>
      </w:pPr>
    </w:p>
    <w:p w:rsidR="00331FD4" w:rsidRPr="000675CC" w:rsidP="00331FD4" w14:paraId="517792AF" w14:textId="6377C87E">
      <w:pPr>
        <w:spacing w:after="0"/>
        <w:jc w:val="both"/>
        <w:rPr>
          <w:rFonts w:ascii="Arial Narrow" w:hAnsi="Arial Narrow"/>
          <w:sz w:val="16"/>
          <w:szCs w:val="16"/>
          <w:lang w:val="lv-LV"/>
        </w:rPr>
      </w:pPr>
      <w:r w:rsidRPr="000675CC">
        <w:rPr>
          <w:rFonts w:ascii="Arial Narrow" w:hAnsi="Arial Narrow"/>
          <w:sz w:val="16"/>
          <w:szCs w:val="16"/>
          <w:lang w:val="lv-LV"/>
        </w:rPr>
        <w:t>Galvenie rādītāji tam, ka Koncerns ir ieguvis kontroli pār aktīvu,   ir tas, ka Koncernam:</w:t>
      </w:r>
    </w:p>
    <w:p w:rsidR="00331FD4" w:rsidRPr="000675CC" w:rsidP="00331FD4" w14:paraId="73432C19" w14:textId="77777777">
      <w:pPr>
        <w:spacing w:after="0"/>
        <w:jc w:val="both"/>
        <w:rPr>
          <w:rFonts w:ascii="Arial Narrow" w:hAnsi="Arial Narrow"/>
          <w:sz w:val="16"/>
          <w:szCs w:val="16"/>
          <w:lang w:val="lv-LV"/>
        </w:rPr>
      </w:pPr>
      <w:r w:rsidRPr="000675CC">
        <w:rPr>
          <w:rFonts w:ascii="Arial Narrow" w:hAnsi="Arial Narrow"/>
          <w:sz w:val="16"/>
          <w:szCs w:val="16"/>
          <w:lang w:val="lv-LV"/>
        </w:rPr>
        <w:t xml:space="preserve">• ir pašreizējs pienākums veikt maksājumus; </w:t>
      </w:r>
    </w:p>
    <w:p w:rsidR="00331FD4" w:rsidRPr="000675CC" w:rsidP="00331FD4" w14:paraId="72FFA3D4" w14:textId="77777777">
      <w:pPr>
        <w:spacing w:after="0"/>
        <w:jc w:val="both"/>
        <w:rPr>
          <w:rFonts w:ascii="Arial Narrow" w:hAnsi="Arial Narrow"/>
          <w:sz w:val="16"/>
          <w:szCs w:val="16"/>
          <w:lang w:val="lv-LV"/>
        </w:rPr>
      </w:pPr>
      <w:r w:rsidRPr="000675CC">
        <w:rPr>
          <w:rFonts w:ascii="Arial Narrow" w:hAnsi="Arial Narrow"/>
          <w:sz w:val="16"/>
          <w:szCs w:val="16"/>
          <w:lang w:val="lv-LV"/>
        </w:rPr>
        <w:t xml:space="preserve">• fiziski pieder iegādātais aktīvs; </w:t>
      </w:r>
    </w:p>
    <w:p w:rsidR="00331FD4" w:rsidRPr="000675CC" w:rsidP="00331FD4" w14:paraId="543CF9D2" w14:textId="77777777">
      <w:pPr>
        <w:spacing w:after="0"/>
        <w:jc w:val="both"/>
        <w:rPr>
          <w:rFonts w:ascii="Arial Narrow" w:hAnsi="Arial Narrow"/>
          <w:sz w:val="16"/>
          <w:szCs w:val="16"/>
          <w:lang w:val="lv-LV"/>
        </w:rPr>
      </w:pPr>
      <w:r w:rsidRPr="000675CC">
        <w:rPr>
          <w:rFonts w:ascii="Arial Narrow" w:hAnsi="Arial Narrow"/>
          <w:sz w:val="16"/>
          <w:szCs w:val="16"/>
          <w:lang w:val="lv-LV"/>
        </w:rPr>
        <w:t xml:space="preserve">• ir īpašumtiesības (uz iegādāto aktīvu); </w:t>
      </w:r>
    </w:p>
    <w:p w:rsidR="00331FD4" w:rsidRPr="000675CC" w:rsidP="00331FD4" w14:paraId="4248C63B" w14:textId="77777777">
      <w:pPr>
        <w:spacing w:after="0"/>
        <w:jc w:val="both"/>
        <w:rPr>
          <w:rFonts w:ascii="Arial Narrow" w:hAnsi="Arial Narrow"/>
          <w:sz w:val="16"/>
          <w:szCs w:val="16"/>
          <w:lang w:val="lv-LV"/>
        </w:rPr>
      </w:pPr>
      <w:r w:rsidRPr="000675CC">
        <w:rPr>
          <w:rFonts w:ascii="Arial Narrow" w:hAnsi="Arial Narrow"/>
          <w:sz w:val="16"/>
          <w:szCs w:val="16"/>
          <w:lang w:val="lv-LV"/>
        </w:rPr>
        <w:t>• ir ar (iegādātā aktīva) īpašumtiesībā</w:t>
      </w:r>
      <w:r w:rsidRPr="000675CC">
        <w:rPr>
          <w:rFonts w:ascii="Arial Narrow" w:hAnsi="Arial Narrow"/>
          <w:sz w:val="16"/>
          <w:szCs w:val="16"/>
          <w:lang w:val="lv-LV"/>
        </w:rPr>
        <w:t xml:space="preserve">m saistītie riski un atlīdzības; </w:t>
      </w:r>
    </w:p>
    <w:p w:rsidR="00331FD4" w:rsidRPr="000675CC" w:rsidP="00331FD4" w14:paraId="7CE99035" w14:textId="77777777">
      <w:pPr>
        <w:spacing w:after="0"/>
        <w:jc w:val="both"/>
        <w:rPr>
          <w:rFonts w:ascii="Arial Narrow" w:hAnsi="Arial Narrow"/>
          <w:sz w:val="16"/>
          <w:szCs w:val="16"/>
          <w:lang w:val="lv-LV"/>
        </w:rPr>
      </w:pPr>
      <w:r w:rsidRPr="000675CC">
        <w:rPr>
          <w:rFonts w:ascii="Arial Narrow" w:hAnsi="Arial Narrow"/>
          <w:sz w:val="16"/>
          <w:szCs w:val="16"/>
          <w:lang w:val="lv-LV"/>
        </w:rPr>
        <w:t>• Koncerns ir pieņēmis aktīvu;</w:t>
      </w:r>
    </w:p>
    <w:p w:rsidR="00331FD4" w:rsidRPr="000675CC" w:rsidP="00C82F33" w14:paraId="5EEF61B4" w14:textId="398D5795">
      <w:pPr>
        <w:spacing w:after="0"/>
        <w:jc w:val="both"/>
        <w:rPr>
          <w:rFonts w:ascii="Arial Narrow" w:hAnsi="Arial Narrow"/>
          <w:sz w:val="16"/>
          <w:szCs w:val="16"/>
          <w:lang w:val="lv-LV"/>
        </w:rPr>
      </w:pPr>
      <w:r w:rsidRPr="000675CC">
        <w:rPr>
          <w:rFonts w:ascii="Arial Narrow" w:hAnsi="Arial Narrow"/>
          <w:sz w:val="16"/>
          <w:szCs w:val="16"/>
          <w:lang w:val="lv-LV"/>
        </w:rPr>
        <w:t>• aizņēmējam ir iespēja vai pienākums izpirkt aktīvu par summu, kas ir mazāka par aktīva sākotnējo pārdošanas cenu.</w:t>
      </w:r>
    </w:p>
    <w:p w:rsidR="00C82F33" w:rsidRPr="000675CC" w:rsidP="00331FD4" w14:paraId="35C14B68" w14:textId="6D7CF48C">
      <w:pPr>
        <w:spacing w:after="0"/>
        <w:jc w:val="both"/>
        <w:rPr>
          <w:rFonts w:ascii="Arial Narrow" w:hAnsi="Arial Narrow"/>
          <w:sz w:val="16"/>
          <w:szCs w:val="16"/>
          <w:lang w:val="lv-LV"/>
        </w:rPr>
        <w:sectPr w:rsidSect="00031DD0">
          <w:headerReference w:type="even" r:id="rId174"/>
          <w:headerReference w:type="default" r:id="rId175"/>
          <w:footerReference w:type="even" r:id="rId176"/>
          <w:footerReference w:type="default" r:id="rId177"/>
          <w:headerReference w:type="first" r:id="rId178"/>
          <w:footerReference w:type="first" r:id="rId179"/>
          <w:pgSz w:w="11906" w:h="16838"/>
          <w:pgMar w:top="1440" w:right="1134" w:bottom="1440" w:left="1440" w:header="431" w:footer="431" w:gutter="0"/>
          <w:pgBorders w:zOrder="front" w:display="allPages" w:offsetFrom="text">
            <w:top w:val="nil"/>
            <w:left w:val="nil"/>
            <w:bottom w:val="nil"/>
            <w:right w:val="nil"/>
          </w:pgBorders>
          <w:cols w:space="720"/>
          <w:vAlign w:val="top"/>
          <w:titlePg w:val="0"/>
          <w:rtlGutter w:val="0"/>
          <w:docGrid w:linePitch="360"/>
        </w:sectPr>
      </w:pP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331FD4" w:rsidRPr="000675CC" w:rsidP="00331FD4" w14:paraId="10033E83" w14:textId="5561B25F">
      <w:pPr>
        <w:spacing w:after="0"/>
        <w:jc w:val="both"/>
        <w:rPr>
          <w:rFonts w:ascii="Arial Narrow" w:hAnsi="Arial Narrow"/>
          <w:b/>
          <w:bCs/>
          <w:sz w:val="16"/>
          <w:szCs w:val="16"/>
          <w:lang w:val="lv-LV"/>
        </w:rPr>
      </w:pPr>
      <w:r w:rsidRPr="000675CC">
        <w:rPr>
          <w:rFonts w:ascii="Arial Narrow" w:hAnsi="Arial Narrow"/>
          <w:b/>
          <w:bCs/>
          <w:sz w:val="16"/>
          <w:szCs w:val="16"/>
          <w:lang w:val="lv-LV"/>
        </w:rPr>
        <w:t xml:space="preserve">3. Nozīmīgi grāmatvedības spriedumi, aplēses un </w:t>
      </w:r>
      <w:r w:rsidRPr="000675CC">
        <w:rPr>
          <w:rFonts w:ascii="Arial Narrow" w:hAnsi="Arial Narrow"/>
          <w:b/>
          <w:bCs/>
          <w:sz w:val="16"/>
          <w:szCs w:val="16"/>
          <w:lang w:val="lv-LV"/>
        </w:rPr>
        <w:t>pieņēmumi (turpinājums)</w:t>
      </w:r>
    </w:p>
    <w:p w:rsidR="00331FD4" w:rsidRPr="000675CC" w:rsidP="00331FD4" w14:paraId="6781D119" w14:textId="77777777">
      <w:pPr>
        <w:spacing w:after="0"/>
        <w:jc w:val="both"/>
        <w:rPr>
          <w:rFonts w:ascii="Arial Narrow" w:hAnsi="Arial Narrow"/>
          <w:sz w:val="16"/>
          <w:szCs w:val="16"/>
          <w:lang w:val="lv-LV"/>
        </w:rPr>
      </w:pP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331FD4" w:rsidRPr="000675CC" w:rsidP="00331FD4" w14:paraId="7A3F9E0B" w14:textId="77777777">
      <w:pPr>
        <w:spacing w:after="0"/>
        <w:jc w:val="both"/>
        <w:rPr>
          <w:rFonts w:ascii="Arial Narrow" w:hAnsi="Arial Narrow"/>
          <w:b/>
          <w:bCs/>
          <w:i/>
          <w:iCs/>
          <w:sz w:val="16"/>
          <w:szCs w:val="16"/>
          <w:lang w:val="lv-LV"/>
        </w:rPr>
      </w:pPr>
      <w:r w:rsidRPr="000675CC">
        <w:rPr>
          <w:rFonts w:ascii="Arial Narrow" w:hAnsi="Arial Narrow"/>
          <w:b/>
          <w:bCs/>
          <w:i/>
          <w:iCs/>
          <w:sz w:val="16"/>
          <w:szCs w:val="16"/>
          <w:lang w:val="lv-LV"/>
        </w:rPr>
        <w:t>Vienīgi procentu un pamatsummas maksājumu (SPPI) novērtējums</w:t>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p>
    <w:p w:rsidR="00331FD4" w:rsidRPr="000675CC" w:rsidP="00D4596E" w14:paraId="759F16C3" w14:textId="2004BFAE">
      <w:pPr>
        <w:spacing w:after="0"/>
        <w:ind w:firstLine="720"/>
        <w:jc w:val="both"/>
        <w:rPr>
          <w:rFonts w:ascii="Arial Narrow" w:hAnsi="Arial Narrow"/>
          <w:sz w:val="16"/>
          <w:szCs w:val="16"/>
          <w:lang w:val="lv-LV"/>
        </w:rPr>
      </w:pPr>
      <w:r w:rsidRPr="000675CC">
        <w:rPr>
          <w:rFonts w:ascii="Arial Narrow" w:hAnsi="Arial Narrow"/>
          <w:sz w:val="16"/>
          <w:szCs w:val="16"/>
          <w:lang w:val="lv-LV"/>
        </w:rPr>
        <w:t xml:space="preserve">Novērtējot to, vai līgumiskās naudas plūsmas veido SPPI, Koncerns izvērtē konkrētā instrumenta līgumiskos noteikumos.  Tas ietver novērtējumu attiecībā </w:t>
      </w:r>
      <w:r w:rsidRPr="000675CC">
        <w:rPr>
          <w:rFonts w:ascii="Arial Narrow" w:hAnsi="Arial Narrow"/>
          <w:sz w:val="16"/>
          <w:szCs w:val="16"/>
          <w:lang w:val="lv-LV"/>
        </w:rPr>
        <w:t xml:space="preserve">uz to, vai finanšu aktīvs ietver līgumisku noteikumu, kas varētu mainīt līgumisko naudas plūsmu laiku vai apjomu tādā apmērā, ka tas varētu neatbilst šim nosacījumam. Veicot šo novērtējumu, Koncerns izvērtē: </w:t>
      </w:r>
    </w:p>
    <w:p w:rsidR="00331FD4" w:rsidRPr="000675CC" w:rsidP="00331FD4" w14:paraId="73391FF6" w14:textId="77777777">
      <w:pPr>
        <w:spacing w:after="0"/>
        <w:jc w:val="both"/>
        <w:rPr>
          <w:rFonts w:ascii="Arial Narrow" w:hAnsi="Arial Narrow"/>
          <w:sz w:val="16"/>
          <w:szCs w:val="16"/>
          <w:lang w:val="lv-LV"/>
        </w:rPr>
      </w:pPr>
      <w:r w:rsidRPr="000675CC">
        <w:rPr>
          <w:rFonts w:ascii="Arial Narrow" w:hAnsi="Arial Narrow"/>
          <w:sz w:val="16"/>
          <w:szCs w:val="16"/>
          <w:lang w:val="lv-LV"/>
        </w:rPr>
        <w:t>• ārpusbilances notikumus, kas varētu mainīt na</w:t>
      </w:r>
      <w:r w:rsidRPr="000675CC">
        <w:rPr>
          <w:rFonts w:ascii="Arial Narrow" w:hAnsi="Arial Narrow"/>
          <w:sz w:val="16"/>
          <w:szCs w:val="16"/>
          <w:lang w:val="lv-LV"/>
        </w:rPr>
        <w:t>udas plūsmu apjomu un laiku;</w:t>
      </w:r>
    </w:p>
    <w:p w:rsidR="00331FD4" w:rsidRPr="000675CC" w:rsidP="00331FD4" w14:paraId="718C1A93" w14:textId="77777777">
      <w:pPr>
        <w:spacing w:after="0"/>
        <w:jc w:val="both"/>
        <w:rPr>
          <w:rFonts w:ascii="Arial Narrow" w:hAnsi="Arial Narrow"/>
          <w:sz w:val="16"/>
          <w:szCs w:val="16"/>
          <w:lang w:val="lv-LV"/>
        </w:rPr>
      </w:pPr>
      <w:r w:rsidRPr="000675CC">
        <w:rPr>
          <w:rFonts w:ascii="Arial Narrow" w:hAnsi="Arial Narrow"/>
          <w:sz w:val="16"/>
          <w:szCs w:val="16"/>
          <w:lang w:val="lv-LV"/>
        </w:rPr>
        <w:t>• parāda attiecību pret pašu kapitālu (leverage feature)</w:t>
      </w:r>
    </w:p>
    <w:p w:rsidR="00331FD4" w:rsidRPr="000675CC" w:rsidP="00331FD4" w14:paraId="26E45D22" w14:textId="77777777">
      <w:pPr>
        <w:spacing w:after="0"/>
        <w:jc w:val="both"/>
        <w:rPr>
          <w:rFonts w:ascii="Arial Narrow" w:hAnsi="Arial Narrow"/>
          <w:sz w:val="16"/>
          <w:szCs w:val="16"/>
          <w:lang w:val="lv-LV"/>
        </w:rPr>
      </w:pPr>
      <w:r w:rsidRPr="000675CC">
        <w:rPr>
          <w:rFonts w:ascii="Arial Narrow" w:hAnsi="Arial Narrow"/>
          <w:sz w:val="16"/>
          <w:szCs w:val="16"/>
          <w:lang w:val="lv-LV"/>
        </w:rPr>
        <w:t>• priekšlaicīgas atmaksas un atmaksas termiņa pagarinājuma nosacījumus; un</w:t>
      </w:r>
    </w:p>
    <w:p w:rsidR="00331FD4" w:rsidRPr="000675CC" w:rsidP="00331FD4" w14:paraId="21D5B234" w14:textId="77777777">
      <w:pPr>
        <w:spacing w:after="0"/>
        <w:jc w:val="both"/>
        <w:rPr>
          <w:rFonts w:ascii="Arial Narrow" w:hAnsi="Arial Narrow"/>
          <w:sz w:val="16"/>
          <w:szCs w:val="16"/>
          <w:lang w:val="lv-LV"/>
        </w:rPr>
      </w:pPr>
      <w:r w:rsidRPr="000675CC">
        <w:rPr>
          <w:rFonts w:ascii="Arial Narrow" w:hAnsi="Arial Narrow"/>
          <w:sz w:val="16"/>
          <w:szCs w:val="16"/>
          <w:lang w:val="lv-LV"/>
        </w:rPr>
        <w:t>• nosacījumus, kas ierobežo Koncerna prasījuma tiesības uz naudas plūsmām no konkrētiem aktīvie</w:t>
      </w:r>
      <w:r w:rsidRPr="000675CC">
        <w:rPr>
          <w:rFonts w:ascii="Arial Narrow" w:hAnsi="Arial Narrow"/>
          <w:sz w:val="16"/>
          <w:szCs w:val="16"/>
          <w:lang w:val="lv-LV"/>
        </w:rPr>
        <w:t>m, (piem., aizdevumi bez prasījuma tiesībām papildus nodrošinājumam);</w:t>
      </w:r>
    </w:p>
    <w:p w:rsidR="00331FD4" w:rsidRPr="000675CC" w:rsidP="00F3360A" w14:paraId="5AD610F3" w14:textId="603E4C85">
      <w:pPr>
        <w:spacing w:after="0"/>
        <w:jc w:val="both"/>
        <w:rPr>
          <w:rFonts w:ascii="Arial Narrow" w:hAnsi="Arial Narrow"/>
          <w:sz w:val="16"/>
          <w:szCs w:val="16"/>
          <w:lang w:val="lv-LV"/>
        </w:rPr>
      </w:pPr>
      <w:r w:rsidRPr="000675CC">
        <w:rPr>
          <w:rFonts w:ascii="Arial Narrow" w:hAnsi="Arial Narrow"/>
          <w:sz w:val="16"/>
          <w:szCs w:val="16"/>
          <w:lang w:val="lv-LV"/>
        </w:rPr>
        <w:t>• iezīmes, kas maina atlīdzību par naudas laikvērtību, (piem., periodiska procentu likmju pārskatīšana).</w:t>
      </w:r>
    </w:p>
    <w:p w:rsidR="00331FD4" w:rsidRPr="000675CC" w:rsidP="00D4596E" w14:paraId="5CE5227A" w14:textId="510A7B88">
      <w:pPr>
        <w:spacing w:after="0"/>
        <w:ind w:firstLine="720"/>
        <w:jc w:val="both"/>
        <w:rPr>
          <w:rFonts w:ascii="Arial Narrow" w:hAnsi="Arial Narrow"/>
          <w:sz w:val="16"/>
          <w:szCs w:val="16"/>
          <w:lang w:val="lv-LV"/>
        </w:rPr>
      </w:pPr>
      <w:r w:rsidRPr="000675CC">
        <w:rPr>
          <w:rFonts w:ascii="Arial Narrow" w:hAnsi="Arial Narrow"/>
          <w:sz w:val="16"/>
          <w:szCs w:val="16"/>
          <w:lang w:val="lv-LV"/>
        </w:rPr>
        <w:t xml:space="preserve">Detalizētāks apraksts par to, kādus spriedumus vadība ir izdarījusi, lai </w:t>
      </w:r>
      <w:r w:rsidRPr="000675CC">
        <w:rPr>
          <w:rFonts w:ascii="Arial Narrow" w:hAnsi="Arial Narrow"/>
          <w:sz w:val="16"/>
          <w:szCs w:val="16"/>
          <w:lang w:val="lv-LV"/>
        </w:rPr>
        <w:t>novērtētu, vai standarta kredīti, kredīti bez prasījuma tiesībām papildus nodrošinājumam un pārdošanas darījumi ar saņemšanu atpakaļ nomā atbilst SPPI kritērijiem aprakstīti 2. piezīmē.</w:t>
      </w:r>
    </w:p>
    <w:p w:rsidR="00331FD4" w:rsidRPr="000675CC" w:rsidP="00331FD4" w14:paraId="5D6892A3" w14:textId="77777777">
      <w:pPr>
        <w:spacing w:after="0"/>
        <w:jc w:val="both"/>
        <w:rPr>
          <w:rFonts w:ascii="Arial Narrow" w:hAnsi="Arial Narrow"/>
          <w:sz w:val="16"/>
          <w:szCs w:val="16"/>
          <w:lang w:val="lv-LV"/>
        </w:rPr>
      </w:pP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331FD4" w:rsidP="00331FD4" w14:paraId="0FCE5BC6" w14:textId="379AF530">
      <w:pPr>
        <w:spacing w:after="0"/>
        <w:jc w:val="both"/>
        <w:rPr>
          <w:rFonts w:ascii="Arial Narrow" w:hAnsi="Arial Narrow"/>
          <w:b/>
          <w:bCs/>
          <w:i/>
          <w:iCs/>
          <w:sz w:val="16"/>
          <w:szCs w:val="16"/>
          <w:lang w:val="lv-LV"/>
        </w:rPr>
      </w:pPr>
      <w:r w:rsidRPr="000675CC">
        <w:rPr>
          <w:rFonts w:ascii="Arial Narrow" w:hAnsi="Arial Narrow"/>
          <w:b/>
          <w:bCs/>
          <w:i/>
          <w:iCs/>
          <w:sz w:val="16"/>
          <w:szCs w:val="16"/>
          <w:lang w:val="lv-LV"/>
        </w:rPr>
        <w:t>Nomas autoparka klasifikācija (Koncerns kā iznomātājs)</w:t>
      </w:r>
    </w:p>
    <w:p w:rsidR="003B2972" w:rsidRPr="000675CC" w:rsidP="00331FD4" w14:paraId="4EBCF92B" w14:textId="77777777">
      <w:pPr>
        <w:spacing w:after="0"/>
        <w:jc w:val="both"/>
        <w:rPr>
          <w:rFonts w:ascii="Arial Narrow" w:hAnsi="Arial Narrow"/>
          <w:b/>
          <w:bCs/>
          <w:i/>
          <w:iCs/>
          <w:sz w:val="16"/>
          <w:szCs w:val="16"/>
          <w:lang w:val="lv-LV"/>
        </w:rPr>
      </w:pPr>
    </w:p>
    <w:p w:rsidR="00331FD4" w:rsidRPr="000675CC" w:rsidP="00D4596E" w14:paraId="5DB1A8B3" w14:textId="6B1B4DA1">
      <w:pPr>
        <w:spacing w:after="0"/>
        <w:ind w:firstLine="720"/>
        <w:jc w:val="both"/>
        <w:rPr>
          <w:rFonts w:ascii="Arial Narrow" w:hAnsi="Arial Narrow"/>
          <w:sz w:val="16"/>
          <w:szCs w:val="16"/>
          <w:lang w:val="lv-LV"/>
        </w:rPr>
      </w:pPr>
      <w:r w:rsidRPr="000675CC">
        <w:rPr>
          <w:rFonts w:ascii="Arial Narrow" w:hAnsi="Arial Narrow"/>
          <w:sz w:val="16"/>
          <w:szCs w:val="16"/>
          <w:lang w:val="lv-LV"/>
        </w:rPr>
        <w:t>Konc</w:t>
      </w:r>
      <w:r w:rsidRPr="000675CC">
        <w:rPr>
          <w:rFonts w:ascii="Arial Narrow" w:hAnsi="Arial Narrow"/>
          <w:sz w:val="16"/>
          <w:szCs w:val="16"/>
          <w:lang w:val="lv-LV"/>
        </w:rPr>
        <w:t>erns ir noslēdzis automašīnu nomas līgumus attiecībā uz tā nomas autoparku (17. piezīme). Šiem nomas līgumiem ir noteikts neatceļamais periods 18 mēneši (6 mēneši) un izvēles termiņš līdz 60 mēnešiem (72 mēneši). Pēc neatceļamā 18 mēnešu perioda nomnieks v</w:t>
      </w:r>
      <w:r w:rsidRPr="000675CC">
        <w:rPr>
          <w:rFonts w:ascii="Arial Narrow" w:hAnsi="Arial Narrow"/>
          <w:sz w:val="16"/>
          <w:szCs w:val="16"/>
          <w:lang w:val="lv-LV"/>
        </w:rPr>
        <w:t>ar atgriezt Koncernam nomāto aktīvu, un Koncerns uzņemas visus ar atcelšanu saistītos zaudējumus. Nomas termiņa beigās nomātais aktīvs netiek nodots nomniekam. Pamatojoties uz tādu vienošanās noteikumu un nosacījumu izvērtējumu kā to, ka nomas termiņš neve</w:t>
      </w:r>
      <w:r w:rsidRPr="000675CC">
        <w:rPr>
          <w:rFonts w:ascii="Arial Narrow" w:hAnsi="Arial Narrow"/>
          <w:sz w:val="16"/>
          <w:szCs w:val="16"/>
          <w:lang w:val="lv-LV"/>
        </w:rPr>
        <w:t>ido lielu daļu no nomātā aktīva lietderīgas lietošanas laika un minimālo nomas maksājumu pašreizējā vērtība neveido būtībā visu nomātā aktīva patieso vērtību, Koncerns ir noteicis, ka tas patur būtībā visus ar aktīva īpašumtiesībām saistītos riskus un atlī</w:t>
      </w:r>
      <w:r w:rsidRPr="000675CC">
        <w:rPr>
          <w:rFonts w:ascii="Arial Narrow" w:hAnsi="Arial Narrow"/>
          <w:sz w:val="16"/>
          <w:szCs w:val="16"/>
          <w:lang w:val="lv-LV"/>
        </w:rPr>
        <w:t>dzības un uzskaita šo līgumus kā operatīvās nomas.</w:t>
      </w:r>
      <w:r w:rsidRPr="000675CC">
        <w:rPr>
          <w:rFonts w:ascii="Arial Narrow" w:hAnsi="Arial Narrow"/>
          <w:sz w:val="16"/>
          <w:szCs w:val="16"/>
          <w:lang w:val="lv-LV"/>
        </w:rPr>
        <w:tab/>
      </w:r>
    </w:p>
    <w:p w:rsidR="00331FD4" w:rsidRPr="000675CC" w:rsidP="00331FD4" w14:paraId="03A1BD90" w14:textId="77777777">
      <w:pPr>
        <w:spacing w:after="0"/>
        <w:jc w:val="both"/>
        <w:rPr>
          <w:rFonts w:ascii="Arial Narrow" w:hAnsi="Arial Narrow"/>
          <w:sz w:val="16"/>
          <w:szCs w:val="16"/>
          <w:lang w:val="lv-LV"/>
        </w:rPr>
      </w:pP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3B2972" w:rsidP="00331FD4" w14:paraId="6E292180" w14:textId="77777777">
      <w:pPr>
        <w:spacing w:after="0"/>
        <w:jc w:val="both"/>
        <w:rPr>
          <w:rFonts w:ascii="Arial Narrow" w:hAnsi="Arial Narrow"/>
          <w:b/>
          <w:bCs/>
          <w:i/>
          <w:iCs/>
          <w:sz w:val="16"/>
          <w:szCs w:val="16"/>
          <w:lang w:val="lv-LV"/>
        </w:rPr>
      </w:pPr>
      <w:r w:rsidRPr="000675CC">
        <w:rPr>
          <w:rFonts w:ascii="Arial Narrow" w:hAnsi="Arial Narrow"/>
          <w:b/>
          <w:bCs/>
          <w:i/>
          <w:iCs/>
          <w:sz w:val="16"/>
          <w:szCs w:val="16"/>
          <w:lang w:val="lv-LV"/>
        </w:rPr>
        <w:t>Darbība pilnvarotāja vai pilnvarnieka statusā</w:t>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p>
    <w:p w:rsidR="00331FD4" w:rsidRPr="000675CC" w:rsidP="00331FD4" w14:paraId="6EF1EB51" w14:textId="42AFD271">
      <w:pPr>
        <w:spacing w:after="0"/>
        <w:jc w:val="both"/>
        <w:rPr>
          <w:rFonts w:ascii="Arial Narrow" w:hAnsi="Arial Narrow"/>
          <w:b/>
          <w:bCs/>
          <w:i/>
          <w:iCs/>
          <w:sz w:val="16"/>
          <w:szCs w:val="16"/>
          <w:lang w:val="lv-LV"/>
        </w:rPr>
      </w:pP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p>
    <w:p w:rsidR="005E5EE5" w:rsidRPr="000675CC" w:rsidP="005E5EE5" w14:paraId="25308661"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Koncerns ir novērtējis, ka, sniedzot parādu piedziņas pakalpojumus (7. piezīme), tas neiegūst kontroli pār šiem pakalpojumiem pirms tie tiek nodoti klientam, jo šādi pakalpojumi vai preces   tiek iegādātas klientu labā. Tāpēc šajos darījumos Koncerns ir uz</w:t>
      </w:r>
      <w:r w:rsidRPr="000675CC">
        <w:rPr>
          <w:rFonts w:ascii="Arial Narrow" w:hAnsi="Arial Narrow"/>
          <w:sz w:val="16"/>
          <w:szCs w:val="16"/>
          <w:lang w:val="lv-LV"/>
        </w:rPr>
        <w:t>skatāms par pilnvarnieku.</w:t>
      </w:r>
    </w:p>
    <w:p w:rsidR="005E5EE5" w:rsidRPr="000675CC" w:rsidP="005E5EE5" w14:paraId="51A00B9B" w14:textId="77777777">
      <w:pPr>
        <w:spacing w:after="0"/>
        <w:ind w:firstLine="720"/>
        <w:jc w:val="both"/>
        <w:rPr>
          <w:rFonts w:ascii="Arial Narrow" w:hAnsi="Arial Narrow"/>
          <w:sz w:val="16"/>
          <w:szCs w:val="16"/>
          <w:lang w:val="lv-LV"/>
        </w:rPr>
      </w:pPr>
      <w:r w:rsidRPr="000675CC">
        <w:rPr>
          <w:rFonts w:ascii="Arial Narrow" w:hAnsi="Arial Narrow"/>
          <w:sz w:val="16"/>
          <w:szCs w:val="16"/>
          <w:lang w:val="lv-LV"/>
        </w:rPr>
        <w:t>Cita starpā Koncerns darbojas kā pilnvarnieks (14. un 36. piezīme) darījumos, kuru ietvaros klientu vārdā no trešām personām tiek iegādātas konkrētas preces un pakalpojumi - galvenokārt juridiski, personāla atlases un tamlīdzīgi p</w:t>
      </w:r>
      <w:r w:rsidRPr="000675CC">
        <w:rPr>
          <w:rFonts w:ascii="Arial Narrow" w:hAnsi="Arial Narrow"/>
          <w:sz w:val="16"/>
          <w:szCs w:val="16"/>
          <w:lang w:val="lv-LV"/>
        </w:rPr>
        <w:t>akalpojumi. Šādos darījumos Koncerns neiegūst kontroli pār pakalpojumu, neuzņemas ar krājumiem saistīto risku un nevar ietekmēt darījuma cenu.</w:t>
      </w:r>
    </w:p>
    <w:p w:rsidR="00331FD4" w:rsidRPr="000675CC" w:rsidP="005E5EE5" w14:paraId="13BFCF10" w14:textId="48F5878F">
      <w:pPr>
        <w:spacing w:after="0"/>
        <w:ind w:firstLine="720"/>
        <w:jc w:val="both"/>
        <w:rPr>
          <w:rFonts w:ascii="Arial Narrow" w:hAnsi="Arial Narrow"/>
          <w:sz w:val="16"/>
          <w:szCs w:val="16"/>
          <w:lang w:val="lv-LV"/>
        </w:rPr>
      </w:pPr>
      <w:r w:rsidRPr="000675CC">
        <w:rPr>
          <w:rFonts w:ascii="Arial Narrow" w:hAnsi="Arial Narrow"/>
          <w:sz w:val="16"/>
          <w:szCs w:val="16"/>
          <w:lang w:val="lv-LV"/>
        </w:rPr>
        <w:t>Koncerns neiegūst kontroli pār pakalpojumu, neuzņemas krājumu risku, kā arī tam nav tiesību noteikt pārdošanas ce</w:t>
      </w:r>
      <w:r w:rsidRPr="000675CC">
        <w:rPr>
          <w:rFonts w:ascii="Arial Narrow" w:hAnsi="Arial Narrow"/>
          <w:sz w:val="16"/>
          <w:szCs w:val="16"/>
          <w:lang w:val="lv-LV"/>
        </w:rPr>
        <w:t>nu.</w:t>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r w:rsidRPr="000675CC">
        <w:rPr>
          <w:rFonts w:ascii="Arial Narrow" w:hAnsi="Arial Narrow"/>
          <w:sz w:val="16"/>
          <w:szCs w:val="16"/>
          <w:lang w:val="lv-LV"/>
        </w:rPr>
        <w:tab/>
      </w:r>
    </w:p>
    <w:p w:rsidR="003B2972" w:rsidP="00331FD4" w14:paraId="32C55EA5" w14:textId="77777777">
      <w:pPr>
        <w:spacing w:after="0"/>
        <w:jc w:val="both"/>
        <w:rPr>
          <w:rFonts w:ascii="Arial Narrow" w:hAnsi="Arial Narrow"/>
          <w:b/>
          <w:bCs/>
          <w:i/>
          <w:iCs/>
          <w:sz w:val="16"/>
          <w:szCs w:val="16"/>
          <w:lang w:val="lv-LV"/>
        </w:rPr>
      </w:pPr>
      <w:r w:rsidRPr="000675CC">
        <w:rPr>
          <w:rFonts w:ascii="Arial Narrow" w:hAnsi="Arial Narrow"/>
          <w:b/>
          <w:bCs/>
          <w:i/>
          <w:iCs/>
          <w:sz w:val="16"/>
          <w:szCs w:val="16"/>
          <w:lang w:val="lv-LV"/>
        </w:rPr>
        <w:t>Segmentu atskaites</w:t>
      </w:r>
      <w:r w:rsidRPr="000675CC">
        <w:rPr>
          <w:rFonts w:ascii="Arial Narrow" w:hAnsi="Arial Narrow"/>
          <w:b/>
          <w:bCs/>
          <w:i/>
          <w:iCs/>
          <w:sz w:val="16"/>
          <w:szCs w:val="16"/>
          <w:lang w:val="lv-LV"/>
        </w:rPr>
        <w:tab/>
      </w:r>
    </w:p>
    <w:p w:rsidR="00331FD4" w:rsidRPr="000675CC" w:rsidP="00331FD4" w14:paraId="407753D2" w14:textId="3AF70D48">
      <w:pPr>
        <w:spacing w:after="0"/>
        <w:jc w:val="both"/>
        <w:rPr>
          <w:rFonts w:ascii="Arial Narrow" w:hAnsi="Arial Narrow"/>
          <w:b/>
          <w:bCs/>
          <w:i/>
          <w:iCs/>
          <w:sz w:val="16"/>
          <w:szCs w:val="16"/>
          <w:lang w:val="lv-LV"/>
        </w:rPr>
      </w:pP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r w:rsidRPr="000675CC">
        <w:rPr>
          <w:rFonts w:ascii="Arial Narrow" w:hAnsi="Arial Narrow"/>
          <w:b/>
          <w:bCs/>
          <w:i/>
          <w:iCs/>
          <w:sz w:val="16"/>
          <w:szCs w:val="16"/>
          <w:lang w:val="lv-LV"/>
        </w:rPr>
        <w:tab/>
      </w:r>
    </w:p>
    <w:p w:rsidR="00507F20" w:rsidRPr="000675CC" w:rsidP="005E5EE5" w14:paraId="32A5CF9A" w14:textId="1E3E35A4">
      <w:pPr>
        <w:spacing w:after="0"/>
        <w:ind w:firstLine="720"/>
        <w:jc w:val="both"/>
        <w:rPr>
          <w:rFonts w:ascii="Arial Narrow" w:hAnsi="Arial Narrow"/>
          <w:sz w:val="16"/>
          <w:szCs w:val="16"/>
          <w:lang w:val="lv-LV"/>
        </w:rPr>
        <w:sectPr w:rsidSect="00031DD0">
          <w:headerReference w:type="even" r:id="rId180"/>
          <w:headerReference w:type="default" r:id="rId181"/>
          <w:footerReference w:type="even" r:id="rId182"/>
          <w:footerReference w:type="default" r:id="rId183"/>
          <w:headerReference w:type="first" r:id="rId184"/>
          <w:footerReference w:type="first" r:id="rId185"/>
          <w:pgSz w:w="11906" w:h="16838"/>
          <w:pgMar w:top="1440" w:right="1134" w:bottom="1440" w:left="1440" w:header="431" w:footer="431" w:gutter="0"/>
          <w:pgBorders w:zOrder="front" w:display="allPages" w:offsetFrom="text">
            <w:top w:val="nil"/>
            <w:left w:val="nil"/>
            <w:bottom w:val="nil"/>
            <w:right w:val="nil"/>
          </w:pgBorders>
          <w:cols w:space="720"/>
          <w:vAlign w:val="top"/>
          <w:titlePg w:val="0"/>
          <w:rtlGutter w:val="0"/>
          <w:docGrid w:linePitch="360"/>
        </w:sectPr>
      </w:pPr>
      <w:r w:rsidRPr="000675CC">
        <w:rPr>
          <w:rFonts w:ascii="Arial Narrow" w:hAnsi="Arial Narrow"/>
          <w:sz w:val="16"/>
          <w:szCs w:val="16"/>
          <w:lang w:val="lv-LV"/>
        </w:rPr>
        <w:t>Segmenti, par kuriem tiek sniegta informācija, ir darbības segmenti vai to apkopojums, kas atbilst konkrētiem kritērijiem. Vismaz reizi gadā Koncerns novērtē un identificē visus potenciālos biznesa segmentus un nos</w:t>
      </w:r>
      <w:r w:rsidRPr="000675CC">
        <w:rPr>
          <w:rFonts w:ascii="Arial Narrow" w:hAnsi="Arial Narrow"/>
          <w:sz w:val="16"/>
          <w:szCs w:val="16"/>
          <w:lang w:val="lv-LV"/>
        </w:rPr>
        <w:t>aka, vai šie segmenti būtu jāuzskaita atsevišķi. Koncerns sniedz informāciju par konkrētu segmentu, ja tas veido 10% vai vairāk no kopējā apgrozījuma (apvienojot iekšējo un starpsegmentu apgrozījumu), nopelna 10% vai vairāk no apvienotās peļņas, ko uzrādīj</w:t>
      </w:r>
      <w:r w:rsidRPr="000675CC">
        <w:rPr>
          <w:rFonts w:ascii="Arial Narrow" w:hAnsi="Arial Narrow"/>
          <w:sz w:val="16"/>
          <w:szCs w:val="16"/>
          <w:lang w:val="lv-LV"/>
        </w:rPr>
        <w:t>uši visi darbības segmenti, kas nav cietuši zaudējumus (vai 10% vai vairāk no apvienotajiem zaudējumiem, kurus uzrādījuši visi darbības segmenti, kas ir cietuši zaudējumus), vai tam pieder 10% vai vairāk no apvienotajiem visu darbības segmentu aktīviem. Sk</w:t>
      </w:r>
      <w:r w:rsidRPr="000675CC">
        <w:rPr>
          <w:rFonts w:ascii="Arial Narrow" w:hAnsi="Arial Narrow"/>
          <w:sz w:val="16"/>
          <w:szCs w:val="16"/>
          <w:lang w:val="lv-LV"/>
        </w:rPr>
        <w:t>atīt 42. piezīmi.</w:t>
      </w:r>
    </w:p>
    <w:tbl>
      <w:tblPr>
        <w:tblStyle w:val="CDMRange1"/>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pageBreakBefore/>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 xml:space="preserve">4. Procentu ieņēmumi </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center"/>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nil"/>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1800" w:type="dxa"/>
            <w:gridSpan w:val="2"/>
            <w:tcBorders>
              <w:top w:val="nil"/>
              <w:left w:val="nil"/>
              <w:bottom w:val="nil"/>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center"/>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Procentu ieņēmumi no no finanšu nomas izrietošām prasībām</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1,067,622</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1,397,369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vMerge w:val="restart"/>
            <w:tcBorders>
              <w:top w:val="nil"/>
              <w:left w:val="nil"/>
              <w:bottom w:val="nil"/>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Procentu ieņēmumi no Koncerna sabiedrību savstarpējiem aizdevumiem, kas aprēķināti pēc efektīvās procentu likmes metodes</w:t>
            </w:r>
          </w:p>
        </w:tc>
        <w:tc>
          <w:tcPr>
            <w:tcW w:w="1800" w:type="dxa"/>
            <w:gridSpan w:val="2"/>
            <w:vMerge w:val="restart"/>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4,346,354</w:t>
            </w:r>
          </w:p>
        </w:tc>
        <w:tc>
          <w:tcPr>
            <w:tcW w:w="1800" w:type="dxa"/>
            <w:gridSpan w:val="2"/>
            <w:vMerge w:val="restart"/>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3,222,910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vMerge/>
            <w:tcBorders>
              <w:top w:val="nil"/>
              <w:left w:val="nil"/>
              <w:bottom w:val="nil"/>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800" w:type="dxa"/>
            <w:gridSpan w:val="2"/>
            <w:vMerge/>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800" w:type="dxa"/>
            <w:gridSpan w:val="2"/>
            <w:vMerge/>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vMerge w:val="restart"/>
            <w:tcBorders>
              <w:top w:val="nil"/>
              <w:left w:val="nil"/>
              <w:bottom w:val="nil"/>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Procentu ieņēmumi no kredītiem un izsniegtiem avansiem, kas aprēķināti pēc efektīvās procentu likmes metodes</w:t>
            </w:r>
          </w:p>
        </w:tc>
        <w:tc>
          <w:tcPr>
            <w:tcW w:w="1800" w:type="dxa"/>
            <w:gridSpan w:val="2"/>
            <w:vMerge w:val="restart"/>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1,537,669</w:t>
            </w:r>
          </w:p>
        </w:tc>
        <w:tc>
          <w:tcPr>
            <w:tcW w:w="1800" w:type="dxa"/>
            <w:gridSpan w:val="2"/>
            <w:vMerge w:val="restart"/>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5,260,230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vMerge/>
            <w:tcBorders>
              <w:top w:val="nil"/>
              <w:left w:val="nil"/>
              <w:bottom w:val="single" w:sz="4" w:space="0" w:color="000000"/>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800" w:type="dxa"/>
            <w:gridSpan w:val="2"/>
            <w:vMerge/>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800" w:type="dxa"/>
            <w:gridSpan w:val="2"/>
            <w:vMerge/>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6,951,645</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9,880,509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both"/>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both"/>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both"/>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both"/>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both"/>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9600" w:type="dxa"/>
            <w:gridSpan w:val="5"/>
            <w:tcBorders>
              <w:top w:val="nil"/>
              <w:left w:val="nil"/>
              <w:bottom w:val="nil"/>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Procentu ieņēmumi ietver procentus, kas nopelnīti par Koncerna portfeli, kura atzīšana ir pārtraukta (19. un 20. piezīme)</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FFFFFF"/>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FFFFFF" w:fill="FFFFFF"/>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Bruto un neto nopelnītie procenti:</w:t>
            </w:r>
          </w:p>
        </w:tc>
        <w:tc>
          <w:tcPr>
            <w:tcW w:w="900"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4"/>
                <w:u w:val="none"/>
                <w:vertAlign w:val="baseline"/>
              </w:rPr>
            </w:pPr>
          </w:p>
        </w:tc>
        <w:tc>
          <w:tcPr>
            <w:tcW w:w="1800" w:type="dxa"/>
            <w:gridSpan w:val="2"/>
            <w:tcBorders>
              <w:top w:val="nil"/>
              <w:left w:val="nil"/>
              <w:bottom w:val="nil"/>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1800" w:type="dxa"/>
            <w:gridSpan w:val="2"/>
            <w:tcBorders>
              <w:top w:val="nil"/>
              <w:left w:val="nil"/>
              <w:bottom w:val="nil"/>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FFFFFF" w:fill="FFFFFF"/>
            <w:noWrap/>
            <w:tcMar>
              <w:left w:w="0" w:type="dxa"/>
              <w:right w:w="0" w:type="dxa"/>
            </w:tcMar>
            <w:textDirection w:val="lrTb"/>
            <w:tcFitText w:val="0"/>
            <w:vAlign w:val="bottom"/>
          </w:tcPr>
          <w:p>
            <w:pPr>
              <w:bidi w:val="0"/>
              <w:spacing w:before="0" w:beforeAutospacing="0" w:after="0" w:afterAutospacing="0" w:line="240" w:lineRule="auto"/>
              <w:jc w:val="center"/>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FFFFFF" w:fill="FFFFFF"/>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Bruto procentu ienākumi</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6,954,644</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9,883,508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Procenti, kuru atzīšana pārtraukta saistībā ar Koncerna aktīvu portfeļa atzīšanas pārtraukšanu*</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(2,999)</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(2,999)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NETO PROCENTI:</w:t>
            </w:r>
          </w:p>
        </w:tc>
        <w:tc>
          <w:tcPr>
            <w:tcW w:w="1800" w:type="dxa"/>
            <w:gridSpan w:val="2"/>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6,951,645</w:t>
            </w:r>
          </w:p>
        </w:tc>
        <w:tc>
          <w:tcPr>
            <w:tcW w:w="1800" w:type="dxa"/>
            <w:gridSpan w:val="2"/>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9,880,509</w:t>
            </w:r>
          </w:p>
        </w:tc>
      </w:tr>
    </w:tbl>
    <w:p>
      <w:pPr>
        <w:spacing w:before="0" w:beforeAutospacing="0" w:after="0" w:afterAutospacing="0" w:line="240" w:lineRule="auto"/>
        <w:rPr>
          <w:rFonts w:ascii="Arial Narrow" w:eastAsia="Arial Narrow" w:hAnsi="Arial Narrow" w:cs="Arial Narrow"/>
          <w:sz w:val="16"/>
        </w:rPr>
      </w:pPr>
    </w:p>
    <w:p w:rsidR="007F3967" w:rsidP="00F27D38" w14:paraId="04EA0255" w14:textId="4B475BE2">
      <w:pPr>
        <w:keepLines/>
        <w:spacing w:after="0" w:line="360" w:lineRule="auto"/>
        <w:jc w:val="both"/>
        <w:rPr>
          <w:rFonts w:ascii="Arial Narrow" w:eastAsia="Arial Narrow" w:hAnsi="Arial Narrow" w:cs="Arial Narrow"/>
          <w:sz w:val="16"/>
          <w:szCs w:val="16"/>
        </w:rPr>
      </w:pPr>
      <w:bookmarkStart w:id="1149" w:name="RG_MARKER_6609"/>
      <w:bookmarkStart w:id="1150" w:name="RG_MARKER_6429"/>
      <w:r w:rsidRPr="00B30266">
        <w:rPr>
          <w:rFonts w:ascii="Arial Narrow" w:eastAsia="Arial Narrow" w:hAnsi="Arial Narrow" w:cs="Arial Narrow"/>
          <w:sz w:val="16"/>
          <w:szCs w:val="16"/>
        </w:rPr>
        <w:t>*Procenti, kuru atzīšana pārtraukta saistībā ar Koncerna aktīvu portfeļa atzīšanas pārtraukšanu, attiecas uz P2P procentiem par kredītiem bez atpirkšanas garantijas.</w:t>
      </w:r>
      <w:bookmarkEnd w:id="1150"/>
      <w:bookmarkEnd w:id="1149"/>
      <w:r w:rsidRPr="00B30266">
        <w:rPr>
          <w:rFonts w:ascii="Arial Narrow" w:eastAsia="Arial Narrow" w:hAnsi="Arial Narrow" w:cs="Arial Narrow"/>
          <w:sz w:val="16"/>
          <w:szCs w:val="16"/>
        </w:rPr>
        <w:tab/>
      </w:r>
    </w:p>
    <w:p w:rsidR="009A6D03" w:rsidRPr="00B30266" w:rsidP="00FF7AD6" w14:paraId="30DC0314" w14:textId="43009684">
      <w:pPr>
        <w:keepLines/>
        <w:spacing w:after="0" w:line="360" w:lineRule="auto"/>
        <w:jc w:val="both"/>
        <w:rPr>
          <w:rFonts w:ascii="Arial Narrow" w:eastAsia="Arial Narrow" w:hAnsi="Arial Narrow" w:cs="Arial Narrow"/>
          <w:sz w:val="16"/>
          <w:szCs w:val="16"/>
        </w:rPr>
      </w:pPr>
      <w:r w:rsidRPr="00B30266">
        <w:rPr>
          <w:rFonts w:ascii="Arial Narrow" w:eastAsia="Arial Narrow" w:hAnsi="Arial Narrow" w:cs="Arial Narrow"/>
          <w:sz w:val="16"/>
          <w:szCs w:val="16"/>
        </w:rPr>
        <w:t>Atzīšana ir pārtraukta arī daļai procentu ieņēmumu, jo Koncerns ir piešķīris savstarpējās kreditēšanas platformas investoriem daļu no finanšu nomas izrietošajām prasībām un kredītiem un izsniegtiem avansiem. Ja cesijas līgumā nav paredzēts atpakaļpirkuma p</w:t>
      </w:r>
      <w:r w:rsidRPr="00B30266">
        <w:rPr>
          <w:rFonts w:ascii="Arial Narrow" w:eastAsia="Arial Narrow" w:hAnsi="Arial Narrow" w:cs="Arial Narrow"/>
          <w:sz w:val="16"/>
          <w:szCs w:val="16"/>
        </w:rPr>
        <w:t>ienākums, procentu ieņēmumus, kas gūti no šādiem cesijas līgumiem, pārtrauc atzīt Koncerna procentu ieņēmumu sastāvā summā, kas vienāda ar investora prasību par nopelnītiem procentiem.</w:t>
      </w:r>
      <w:r w:rsidRPr="00B30266">
        <w:rPr>
          <w:rFonts w:ascii="Arial Narrow" w:eastAsia="Arial Narrow" w:hAnsi="Arial Narrow" w:cs="Arial Narrow"/>
          <w:sz w:val="16"/>
          <w:szCs w:val="16"/>
        </w:rPr>
        <w:tab/>
      </w:r>
    </w:p>
    <w:p/>
    <w:tbl>
      <w:tblPr>
        <w:tblStyle w:val="CDMRange2"/>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 Procentu izdevumi</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center"/>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center"/>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Procentu izdevumi par amortizētajā iegādes vērtībā novērtētām finanšu saistībām:</w:t>
            </w: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Procentu izdevumi par izsniegtām obligācijām</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3,551,695</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3,106,056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Procentu izdevumi par izsniegtām obligācijām, saistītās personas</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34,008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Procentu izdevumi par aizņēmumiem no savstarpējās kreditēšanas platformas investoriem</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826,391</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1,217,218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Procentu izdevumi par nomas saistībām</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23,988</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34,520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Procentu izdevumi par aizņēmumiem no bankām</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98,932</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150,181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Pārējie procentu izdevumi par aizņēmumiem no saistītām sabiedrībām</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16,061</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7,085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TOTAL:</w:t>
            </w:r>
          </w:p>
        </w:tc>
        <w:tc>
          <w:tcPr>
            <w:tcW w:w="1800" w:type="dxa"/>
            <w:gridSpan w:val="2"/>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4,517,067</w:t>
            </w:r>
          </w:p>
        </w:tc>
        <w:tc>
          <w:tcPr>
            <w:tcW w:w="1800" w:type="dxa"/>
            <w:gridSpan w:val="2"/>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4,549,068</w:t>
            </w:r>
          </w:p>
        </w:tc>
      </w:tr>
    </w:tbl>
    <w:p>
      <w:pPr>
        <w:spacing w:before="0" w:beforeAutospacing="0" w:after="0" w:afterAutospacing="0" w:line="240" w:lineRule="auto"/>
        <w:rPr>
          <w:rFonts w:ascii="Arial Narrow" w:eastAsia="Arial Narrow" w:hAnsi="Arial Narrow" w:cs="Arial Narrow"/>
          <w:sz w:val="16"/>
        </w:rPr>
      </w:pPr>
    </w:p>
    <w:p w:rsidR="00D23A77" w:rsidRPr="00DC1DBF" w:rsidP="00C92233" w14:paraId="5FC419F3" w14:textId="3E60D4A1">
      <w:pPr>
        <w:keepLines/>
        <w:spacing w:line="360" w:lineRule="auto"/>
        <w:jc w:val="both"/>
        <w:rPr>
          <w:rFonts w:ascii="Arial Narrow" w:eastAsia="Arial Narrow" w:hAnsi="Arial Narrow" w:cs="Arial Narrow"/>
          <w:sz w:val="16"/>
          <w:szCs w:val="16"/>
        </w:rPr>
      </w:pPr>
      <w:bookmarkStart w:id="1151" w:name="RG_MARKER_6611"/>
      <w:bookmarkStart w:id="1152" w:name="RG_MARKER_6430"/>
      <w:r w:rsidRPr="00DC1DBF">
        <w:rPr>
          <w:rFonts w:ascii="Arial Narrow" w:eastAsia="Arial Narrow" w:hAnsi="Arial Narrow" w:cs="Arial Narrow"/>
          <w:sz w:val="16"/>
          <w:szCs w:val="16"/>
        </w:rPr>
        <w:t xml:space="preserve">Finanšu gada laikā Koncerns veiksmīgi piesaistīja finansējumu, izmantojot savstarpējās kreditēšanas platformu. Procentu izdevumi no savstarpējās kreditēšanas platformas ir samazinājušies salīdzinājumā ar iepriekšējo gadu, jo ir samazinājies </w:t>
      </w:r>
      <w:bookmarkEnd w:id="1152"/>
      <w:bookmarkEnd w:id="1151"/>
      <w:r w:rsidRPr="00DC1DBF">
        <w:rPr>
          <w:rFonts w:ascii="Arial Narrow" w:eastAsia="Arial Narrow" w:hAnsi="Arial Narrow" w:cs="Arial Narrow"/>
          <w:sz w:val="16"/>
          <w:szCs w:val="16"/>
        </w:rPr>
        <w:t>savstarpējās kreditēšanas platformās piesaistītā finansējuma apjoms.</w:t>
      </w:r>
    </w:p>
    <w:p w:rsidR="009A6D03" w:rsidRPr="00D2200D" w:rsidP="00C92233" w14:textId="126CCD58">
      <w:pPr>
        <w:keepLines/>
        <w:spacing w:line="360" w:lineRule="auto"/>
        <w:jc w:val="both"/>
        <w:rPr>
          <w:rFonts w:ascii="Arial Narrow" w:eastAsia="Arial Narrow" w:hAnsi="Arial Narrow" w:cs="Arial Narrow"/>
          <w:color w:val="000000" w:themeColor="text1"/>
        </w:rPr>
      </w:pPr>
      <w:r w:rsidRPr="00D2200D">
        <w:rPr>
          <w:rFonts w:ascii="Arial Narrow" w:eastAsia="Arial Narrow" w:hAnsi="Arial Narrow" w:cs="Arial Narrow"/>
          <w:color w:val="000000" w:themeColor="text1"/>
          <w:sz w:val="16"/>
          <w:szCs w:val="16"/>
        </w:rPr>
        <w:t>Plašāka</w:t>
      </w:r>
      <w:r w:rsidRPr="00D2200D">
        <w:rPr>
          <w:rFonts w:ascii="Arial Narrow" w:eastAsia="Arial Narrow" w:hAnsi="Arial Narrow" w:cs="Arial Narrow"/>
          <w:color w:val="000000" w:themeColor="text1"/>
          <w:sz w:val="16"/>
          <w:szCs w:val="16"/>
        </w:rPr>
        <w:t xml:space="preserve"> </w:t>
      </w:r>
      <w:r w:rsidRPr="00D2200D">
        <w:rPr>
          <w:rFonts w:ascii="Arial Narrow" w:eastAsia="Arial Narrow" w:hAnsi="Arial Narrow" w:cs="Arial Narrow"/>
          <w:color w:val="000000" w:themeColor="text1"/>
          <w:sz w:val="16"/>
          <w:szCs w:val="16"/>
        </w:rPr>
        <w:t>informācija</w:t>
      </w:r>
      <w:r w:rsidRPr="00D2200D">
        <w:rPr>
          <w:rFonts w:ascii="Arial Narrow" w:eastAsia="Arial Narrow" w:hAnsi="Arial Narrow" w:cs="Arial Narrow"/>
          <w:color w:val="000000" w:themeColor="text1"/>
          <w:sz w:val="16"/>
          <w:szCs w:val="16"/>
        </w:rPr>
        <w:t xml:space="preserve"> </w:t>
      </w:r>
      <w:r w:rsidRPr="00D2200D">
        <w:rPr>
          <w:rFonts w:ascii="Arial Narrow" w:eastAsia="Arial Narrow" w:hAnsi="Arial Narrow" w:cs="Arial Narrow"/>
          <w:color w:val="000000" w:themeColor="text1"/>
          <w:sz w:val="16"/>
          <w:szCs w:val="16"/>
        </w:rPr>
        <w:t>sniegta</w:t>
      </w:r>
      <w:r w:rsidRPr="00D2200D">
        <w:rPr>
          <w:rFonts w:ascii="Arial Narrow" w:eastAsia="Arial Narrow" w:hAnsi="Arial Narrow" w:cs="Arial Narrow"/>
          <w:color w:val="000000" w:themeColor="text1"/>
          <w:sz w:val="16"/>
          <w:szCs w:val="16"/>
        </w:rPr>
        <w:t xml:space="preserve"> </w:t>
      </w:r>
      <w:r w:rsidRPr="00D2200D" w:rsidR="00506E05">
        <w:rPr>
          <w:rFonts w:ascii="Arial Narrow" w:eastAsia="Arial Narrow" w:hAnsi="Arial Narrow" w:cs="Arial Narrow"/>
          <w:color w:val="000000" w:themeColor="text1"/>
          <w:sz w:val="16"/>
          <w:szCs w:val="16"/>
        </w:rPr>
        <w:t>31</w:t>
      </w:r>
      <w:r w:rsidRPr="00D2200D">
        <w:rPr>
          <w:rFonts w:ascii="Arial Narrow" w:eastAsia="Arial Narrow" w:hAnsi="Arial Narrow" w:cs="Arial Narrow"/>
          <w:color w:val="000000" w:themeColor="text1"/>
          <w:sz w:val="16"/>
          <w:szCs w:val="16"/>
        </w:rPr>
        <w:t>. piezīmē.</w:t>
      </w:r>
    </w:p>
    <w:p/>
    <w:tbl>
      <w:tblPr>
        <w:tblStyle w:val="CDMRange1"/>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 Automašīnu nomas ieņēmumi</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Operatīvās nomas ieņēmumi*</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6,543,201</w:t>
            </w:r>
          </w:p>
        </w:tc>
        <w:tc>
          <w:tcPr>
            <w:tcW w:w="1800" w:type="dxa"/>
            <w:gridSpan w:val="2"/>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6,240,662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6,543,201</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6,240,662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800" w:type="dxa"/>
            <w:gridSpan w:val="2"/>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2E6D"/>
                <w:sz w:val="16"/>
                <w:u w:val="none"/>
                <w:vertAlign w:val="baseline"/>
              </w:rPr>
            </w:pPr>
          </w:p>
        </w:tc>
        <w:tc>
          <w:tcPr>
            <w:tcW w:w="1800" w:type="dxa"/>
            <w:gridSpan w:val="2"/>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2E6D"/>
                <w:sz w:val="16"/>
                <w:u w:val="none"/>
                <w:vertAlign w:val="baseline"/>
              </w:rPr>
            </w:pPr>
          </w:p>
        </w:tc>
      </w:tr>
    </w:tbl>
    <w:p>
      <w:pPr>
        <w:spacing w:before="0" w:beforeAutospacing="0" w:after="0" w:afterAutospacing="0" w:line="240" w:lineRule="auto"/>
        <w:rPr>
          <w:rFonts w:ascii="Arial Narrow" w:eastAsia="Arial Narrow" w:hAnsi="Arial Narrow" w:cs="Arial Narrow"/>
          <w:sz w:val="16"/>
        </w:rPr>
      </w:pPr>
    </w:p>
    <w:p w:rsidR="009A6D03" w:rsidRPr="00893E4F" w:rsidP="000C3601" w14:textId="088AE238">
      <w:pPr>
        <w:keepLines/>
        <w:rPr>
          <w:rFonts w:ascii="Arial Narrow" w:eastAsia="Arial Narrow" w:hAnsi="Arial Narrow" w:cs="Arial Narrow"/>
          <w:sz w:val="16"/>
          <w:szCs w:val="16"/>
        </w:rPr>
      </w:pPr>
      <w:bookmarkStart w:id="1153" w:name="RG_MARKER_6613"/>
      <w:bookmarkStart w:id="1154" w:name="RG_MARKER_6524"/>
      <w:r w:rsidRPr="00893E4F">
        <w:rPr>
          <w:rFonts w:ascii="Arial Narrow" w:eastAsia="Arial Narrow" w:hAnsi="Arial Narrow" w:cs="Arial Narrow"/>
          <w:sz w:val="16"/>
          <w:szCs w:val="16"/>
        </w:rPr>
        <w:t>*Ieņēmumi no operatīvās nomas ir fiksēta apjoma un neietver mainīgus nomas maksājumus.</w:t>
      </w:r>
      <w:bookmarkEnd w:id="1154"/>
      <w:bookmarkEnd w:id="1153"/>
    </w:p>
    <w:tbl>
      <w:tblPr>
        <w:tblStyle w:val="CDMRange2"/>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pageBreakBefore/>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 Komisijas naudas ieņēmumi no līzinga un nomas līgumiem</w:t>
            </w:r>
          </w:p>
        </w:tc>
        <w:tc>
          <w:tcPr>
            <w:tcW w:w="900" w:type="dxa"/>
            <w:tcBorders>
              <w:top w:val="nil"/>
              <w:left w:val="nil"/>
              <w:bottom w:val="nil"/>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Ieņēmumi no līgumiem ar klientiem, kas atzīti konkrētā brīdī</w:t>
            </w:r>
          </w:p>
        </w:tc>
        <w:tc>
          <w:tcPr>
            <w:tcW w:w="1800" w:type="dxa"/>
            <w:gridSpan w:val="2"/>
            <w:tcBorders>
              <w:top w:val="nil"/>
              <w:left w:val="nil"/>
              <w:bottom w:val="nil"/>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1800" w:type="dxa"/>
            <w:gridSpan w:val="2"/>
            <w:tcBorders>
              <w:top w:val="nil"/>
              <w:left w:val="nil"/>
              <w:bottom w:val="nil"/>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Bruto ienākumi no parādu piedziņas darbības</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339,532</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547,608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Bruto izdevumi no parādu piedziņas darbības</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(208,529)</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(328,435)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Neto parādu piedziņas ienākumi:</w:t>
            </w:r>
          </w:p>
        </w:tc>
        <w:tc>
          <w:tcPr>
            <w:tcW w:w="1800" w:type="dxa"/>
            <w:gridSpan w:val="2"/>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131,003</w:t>
            </w:r>
          </w:p>
        </w:tc>
        <w:tc>
          <w:tcPr>
            <w:tcW w:w="1800" w:type="dxa"/>
            <w:gridSpan w:val="2"/>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219,173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Saņemtas soda naudas</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306,163</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311,731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Komisijas naudas</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1,149</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1,535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Komisijas nauda no nomas līgumiem*</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212,716</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48,650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651,031</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581,089</w:t>
            </w:r>
          </w:p>
        </w:tc>
      </w:tr>
    </w:tbl>
    <w:p>
      <w:pPr>
        <w:spacing w:before="0" w:beforeAutospacing="0" w:after="0" w:afterAutospacing="0" w:line="240" w:lineRule="auto"/>
        <w:rPr>
          <w:rFonts w:ascii="Arial Narrow" w:eastAsia="Arial Narrow" w:hAnsi="Arial Narrow" w:cs="Arial Narrow"/>
          <w:sz w:val="16"/>
        </w:rPr>
      </w:pPr>
    </w:p>
    <w:p w:rsidR="009A6D03" w:rsidRPr="002C0C9D" w:rsidP="0014523D" w14:textId="08494CA9">
      <w:pPr>
        <w:keepLines/>
        <w:rPr>
          <w:rFonts w:ascii="Arial Narrow" w:eastAsia="Arial Narrow" w:hAnsi="Arial Narrow" w:cs="Arial Narrow"/>
          <w:sz w:val="16"/>
          <w:szCs w:val="16"/>
        </w:rPr>
      </w:pPr>
      <w:bookmarkStart w:id="1155" w:name="RG_MARKER_6615"/>
      <w:bookmarkStart w:id="1156" w:name="RG_MARKER_6431"/>
      <w:r w:rsidRPr="002C0C9D">
        <w:rPr>
          <w:rFonts w:ascii="Arial Narrow" w:eastAsia="Arial Narrow" w:hAnsi="Arial Narrow" w:cs="Arial Narrow"/>
          <w:sz w:val="16"/>
          <w:szCs w:val="16"/>
        </w:rPr>
        <w:t>* Komisijas naudas ienākumus no nomas līgumiem atzīst saskaņā ar SFPS Nr. 16 “Nomas” prasībām.</w:t>
      </w:r>
      <w:bookmarkEnd w:id="1156"/>
      <w:bookmarkEnd w:id="1155"/>
    </w:p>
    <w:tbl>
      <w:tblPr>
        <w:tblStyle w:val="CDMRange1"/>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8. Vērtības samazinājums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FFFFFF" w:fill="FFFFFF"/>
            <w:noWrap/>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nil"/>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1800" w:type="dxa"/>
            <w:gridSpan w:val="2"/>
            <w:tcBorders>
              <w:top w:val="nil"/>
              <w:left w:val="nil"/>
              <w:bottom w:val="nil"/>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FFFFFF" w:fill="FFFFFF"/>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Finanšu nomas vērtības samazinājuma izmaiņas </w:t>
            </w:r>
            <w:r>
              <w:rPr>
                <w:rFonts w:ascii="Arial Narrow" w:eastAsia="Arial Narrow" w:hAnsi="Arial Narrow" w:cs="Arial Narrow"/>
                <w:b w:val="0"/>
                <w:i w:val="0"/>
                <w:strike w:val="0"/>
                <w:color w:val="000000"/>
                <w:sz w:val="16"/>
                <w:u w:val="none"/>
                <w:vertAlign w:val="baseline"/>
              </w:rPr>
              <w:t xml:space="preserve"> (19. piezīme)</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(349,111)</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(200,512)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Kredītu un izsniegtu avansu vērtības samazinājuma izmaiņas </w:t>
            </w:r>
            <w:r>
              <w:rPr>
                <w:rFonts w:ascii="Arial Narrow" w:eastAsia="Arial Narrow" w:hAnsi="Arial Narrow" w:cs="Arial Narrow"/>
                <w:b w:val="0"/>
                <w:i w:val="0"/>
                <w:strike w:val="0"/>
                <w:color w:val="000000"/>
                <w:sz w:val="16"/>
                <w:u w:val="none"/>
                <w:vertAlign w:val="baseline"/>
              </w:rPr>
              <w:t xml:space="preserve"> (20. piezīme)</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(1,184,875)</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(595,643)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Nomas autoparka vērtības samazinājuma izmaiņas </w:t>
            </w:r>
            <w:r>
              <w:rPr>
                <w:rFonts w:ascii="Arial Narrow" w:eastAsia="Arial Narrow" w:hAnsi="Arial Narrow" w:cs="Arial Narrow"/>
                <w:b w:val="0"/>
                <w:i w:val="0"/>
                <w:strike w:val="0"/>
                <w:color w:val="000000"/>
                <w:sz w:val="16"/>
                <w:u w:val="none"/>
                <w:vertAlign w:val="baseline"/>
              </w:rPr>
              <w:t xml:space="preserve"> (17. piezīme)</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138,405</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95,529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Noma debitoru parādu vērtības samazinājuma izmaiņas </w:t>
            </w:r>
            <w:r>
              <w:rPr>
                <w:rFonts w:ascii="Arial Narrow" w:eastAsia="Arial Narrow" w:hAnsi="Arial Narrow" w:cs="Arial Narrow"/>
                <w:b w:val="0"/>
                <w:i w:val="0"/>
                <w:strike w:val="0"/>
                <w:color w:val="000000"/>
                <w:sz w:val="16"/>
                <w:u w:val="none"/>
                <w:vertAlign w:val="baseline"/>
              </w:rPr>
              <w:t xml:space="preserve"> (25. piezīme)</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(13,286)</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626,286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Norakstīts nomas autoparks</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989,459</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321,810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FFFFFF" w:fill="FFFFFF"/>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Norakstīti debitori</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2,267,167</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1,909,365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FFFFFF" w:fill="FFFFFF"/>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Vērtības samazināšanās izdevumi 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1,847,759</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2,156,835</w:t>
            </w:r>
          </w:p>
        </w:tc>
      </w:tr>
    </w:tbl>
    <w:p>
      <w:pPr>
        <w:spacing w:before="0" w:beforeAutospacing="0" w:after="0" w:afterAutospacing="0" w:line="240" w:lineRule="auto"/>
        <w:rPr>
          <w:rFonts w:ascii="Arial Narrow" w:eastAsia="Arial Narrow" w:hAnsi="Arial Narrow" w:cs="Arial Narrow"/>
          <w:sz w:val="16"/>
        </w:rPr>
      </w:pPr>
    </w:p>
    <w:tbl>
      <w:tblPr>
        <w:tblStyle w:val="CDMRange2"/>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9600" w:type="dxa"/>
            <w:gridSpan w:val="5"/>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9. Neto peļņa/(zaudējumi) no amortizētajā iegādes vērtībā novērtētu finanšu aktīvu atzīšanas pārtraukšanas</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16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Finanšu noma</w:t>
            </w:r>
          </w:p>
        </w:tc>
        <w:tc>
          <w:tcPr>
            <w:tcW w:w="9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Ienākumi no finanšu nomas izrietošo prasību cedēšanas saistītām pusēm</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568,074</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146,596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Zaudējumi no finanšu nomas izrietošo prasību cedēšanas saistītām pusēm</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(788)</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567,286</w:t>
            </w:r>
          </w:p>
        </w:tc>
        <w:tc>
          <w:tcPr>
            <w:tcW w:w="1800" w:type="dxa"/>
            <w:gridSpan w:val="2"/>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146,541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19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center"/>
              <w:rPr>
                <w:rFonts w:ascii="Arial Narrow" w:eastAsia="Arial Narrow" w:hAnsi="Arial Narrow" w:cs="Arial Narrow"/>
                <w:b/>
                <w:i/>
                <w:strike w:val="0"/>
                <w:color w:val="000000"/>
                <w:sz w:val="16"/>
                <w:u w:val="none"/>
                <w:vertAlign w:val="baseline"/>
              </w:rPr>
            </w:pPr>
          </w:p>
        </w:tc>
        <w:tc>
          <w:tcPr>
            <w:tcW w:w="1800" w:type="dxa"/>
            <w:gridSpan w:val="2"/>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800" w:type="dxa"/>
            <w:gridSpan w:val="2"/>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Finanšu noma</w:t>
            </w:r>
          </w:p>
        </w:tc>
        <w:tc>
          <w:tcPr>
            <w:tcW w:w="1800" w:type="dxa"/>
            <w:gridSpan w:val="2"/>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Ienākumi no finanšu nomas izrietošo prasību cedēšanas nesaistītām pusēm</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9,465</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5,962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Zaudējumi no finanšu nomas izrietošo prasību cedēšanas nesaistītām pusēm</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(26,594)</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(3,256)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(17,129)</w:t>
            </w:r>
          </w:p>
        </w:tc>
        <w:tc>
          <w:tcPr>
            <w:tcW w:w="1800" w:type="dxa"/>
            <w:gridSpan w:val="2"/>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2,706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180"/>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Kredīti un izsniegtie avansi</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Ienākumi no kredītu un izsniegto avansu cedēšanas saistītām pusēm</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1,544,805</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589,816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Zaudējumi no kredītu un izsniegto avansu cedēšanas saistītām pusēm</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(2,082)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1,544,805</w:t>
            </w:r>
          </w:p>
        </w:tc>
        <w:tc>
          <w:tcPr>
            <w:tcW w:w="1800" w:type="dxa"/>
            <w:gridSpan w:val="2"/>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587,734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180"/>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Kredīti un izsniegtie avansi</w:t>
            </w:r>
          </w:p>
        </w:tc>
        <w:tc>
          <w:tcPr>
            <w:tcW w:w="9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Ienākumi no finanšu nomas izrietošo prasību cedēšanas nesaistītām pusēm</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52,238</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25,873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Zaudējumi no finanšu nomas izrietošo prasību cedēšanas nesaistītām pusēm</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(125,197)</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(178,221)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(72,959)</w:t>
            </w:r>
          </w:p>
        </w:tc>
        <w:tc>
          <w:tcPr>
            <w:tcW w:w="1800" w:type="dxa"/>
            <w:gridSpan w:val="2"/>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(152,348)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150"/>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bl>
    <w:p/>
    <w:tbl>
      <w:tblPr>
        <w:tblStyle w:val="CDMRange1"/>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4"/>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4"/>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4"/>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Debitoru parādi par nomas līgumiem</w:t>
            </w:r>
          </w:p>
        </w:tc>
        <w:tc>
          <w:tcPr>
            <w:tcW w:w="9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parādi par nomas līgumiem</w:t>
            </w: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top"/>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171,767</w:t>
            </w: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top"/>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Ienākumi no klientu debitoru parādu cedēšanas nesaistītām pusēm</w:t>
            </w: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top"/>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(121,524)</w:t>
            </w: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top"/>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900" w:type="dxa"/>
            <w:tcBorders>
              <w:top w:val="single" w:sz="4" w:space="0" w:color="000000"/>
              <w:left w:val="nil"/>
              <w:bottom w:val="double" w:sz="6" w:space="0" w:color="000000"/>
              <w:right w:val="nil"/>
              <w:tl2br w:val="nil"/>
              <w:tr2bl w:val="nil"/>
            </w:tcBorders>
            <w:shd w:val="clear" w:color="FFFFFF" w:fill="DEEBF7"/>
            <w:noWrap/>
            <w:tcMar>
              <w:left w:w="0" w:type="dxa"/>
              <w:right w:w="0" w:type="dxa"/>
            </w:tcMar>
            <w:textDirection w:val="lrTb"/>
            <w:tcFitText w:val="0"/>
            <w:vAlign w:val="top"/>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50,243</w:t>
            </w:r>
          </w:p>
        </w:tc>
        <w:tc>
          <w:tcPr>
            <w:tcW w:w="900" w:type="dxa"/>
            <w:tcBorders>
              <w:top w:val="single" w:sz="4" w:space="0" w:color="000000"/>
              <w:left w:val="nil"/>
              <w:bottom w:val="double" w:sz="6" w:space="0" w:color="000000"/>
              <w:right w:val="nil"/>
              <w:tl2br w:val="nil"/>
              <w:tr2bl w:val="nil"/>
            </w:tcBorders>
            <w:shd w:val="clear" w:color="FFFFFF" w:fill="DEEBF7"/>
            <w:noWrap/>
            <w:tcMar>
              <w:left w:w="0" w:type="dxa"/>
              <w:right w:w="0" w:type="dxa"/>
            </w:tcMar>
            <w:textDirection w:val="lrTb"/>
            <w:tcFitText w:val="0"/>
            <w:vAlign w:val="top"/>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20"/>
        </w:trPr>
        <w:tc>
          <w:tcPr>
            <w:tcW w:w="60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Neto ienākumi/(zaudējumi) no finanšu nomas izrietošo prasību, kredītu un izsniegto avansu un nomas līgumu cedēšanas</w:t>
            </w:r>
          </w:p>
        </w:tc>
        <w:tc>
          <w:tcPr>
            <w:tcW w:w="900" w:type="dxa"/>
            <w:tcBorders>
              <w:top w:val="nil"/>
              <w:left w:val="nil"/>
              <w:bottom w:val="double" w:sz="6" w:space="0" w:color="000000"/>
              <w:right w:val="nil"/>
              <w:tl2br w:val="nil"/>
              <w:tr2bl w:val="nil"/>
            </w:tcBorders>
            <w:shd w:val="clear" w:color="FFFFFF" w:fill="DEEBF7"/>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2,072,246</w:t>
            </w:r>
          </w:p>
        </w:tc>
        <w:tc>
          <w:tcPr>
            <w:tcW w:w="900" w:type="dxa"/>
            <w:tcBorders>
              <w:top w:val="nil"/>
              <w:left w:val="nil"/>
              <w:bottom w:val="double" w:sz="6" w:space="0" w:color="000000"/>
              <w:right w:val="nil"/>
              <w:tl2br w:val="nil"/>
              <w:tr2bl w:val="nil"/>
            </w:tcBorders>
            <w:shd w:val="clear" w:color="FFFFFF" w:fill="DEEBF7"/>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584,633</w:t>
            </w:r>
          </w:p>
        </w:tc>
      </w:tr>
    </w:tbl>
    <w:p/>
    <w:p w:rsidR="00CB7F86" w:rsidP="006D2B18" w14:paraId="3060202E" w14:textId="53A66E20">
      <w:pPr>
        <w:rPr>
          <w:rFonts w:ascii="Arial Narrow" w:eastAsia="Arial Narrow" w:hAnsi="Arial Narrow" w:cs="Arial Narrow"/>
          <w:sz w:val="16"/>
          <w:szCs w:val="16"/>
          <w:lang w:val="lv-LV"/>
        </w:rPr>
      </w:pPr>
      <w:bookmarkStart w:id="1157" w:name="RG_MARKER_6618"/>
      <w:bookmarkStart w:id="1158" w:name="RG_MARKER_6433"/>
      <w:r>
        <w:rPr>
          <w:rFonts w:ascii="Arial Narrow" w:eastAsia="Arial Narrow" w:hAnsi="Arial Narrow" w:cs="Arial Narrow"/>
          <w:b/>
          <w:color w:val="000000"/>
          <w:sz w:val="16"/>
        </w:rPr>
        <w:t>9. Neto peļņa/(zaudējumi) no amortizētajā iegādes vērtībā novērtētu finanšu aktīvu atzīšanas pārtraukšanas</w:t>
      </w:r>
      <w:bookmarkEnd w:id="1158"/>
      <w:bookmarkEnd w:id="1157"/>
      <w:r>
        <w:rPr>
          <w:rFonts w:ascii="Arial Narrow" w:eastAsia="Arial Narrow" w:hAnsi="Arial Narrow" w:cs="Arial Narrow"/>
          <w:b/>
          <w:color w:val="000000"/>
          <w:sz w:val="16"/>
        </w:rPr>
        <w:t xml:space="preserve"> (turpinājums)</w:t>
      </w:r>
    </w:p>
    <w:p w:rsidR="006D2B18" w:rsidRPr="00CF1F3B" w:rsidP="006D2B18" w14:paraId="3E0A3613" w14:textId="07DC7AD0">
      <w:pPr>
        <w:rPr>
          <w:rFonts w:ascii="Arial Narrow" w:eastAsia="Arial Narrow" w:hAnsi="Arial Narrow" w:cs="Arial Narrow"/>
          <w:sz w:val="16"/>
          <w:szCs w:val="16"/>
          <w:lang w:val="lv-LV"/>
        </w:rPr>
      </w:pPr>
      <w:r w:rsidRPr="00CF1F3B">
        <w:rPr>
          <w:rFonts w:ascii="Arial Narrow" w:eastAsia="Arial Narrow" w:hAnsi="Arial Narrow" w:cs="Arial Narrow"/>
          <w:sz w:val="16"/>
          <w:szCs w:val="16"/>
          <w:lang w:val="lv-LV"/>
        </w:rPr>
        <w:t>202</w:t>
      </w:r>
      <w:r>
        <w:rPr>
          <w:rFonts w:ascii="Arial Narrow" w:eastAsia="Arial Narrow" w:hAnsi="Arial Narrow" w:cs="Arial Narrow"/>
          <w:sz w:val="16"/>
          <w:szCs w:val="16"/>
          <w:lang w:val="lv-LV"/>
        </w:rPr>
        <w:t>1</w:t>
      </w:r>
      <w:r w:rsidRPr="00CF1F3B">
        <w:rPr>
          <w:rFonts w:ascii="Arial Narrow" w:eastAsia="Arial Narrow" w:hAnsi="Arial Narrow" w:cs="Arial Narrow"/>
          <w:sz w:val="16"/>
          <w:szCs w:val="16"/>
          <w:lang w:val="lv-LV"/>
        </w:rPr>
        <w:t>.</w:t>
      </w:r>
      <w:r>
        <w:rPr>
          <w:rFonts w:ascii="Arial Narrow" w:eastAsia="Arial Narrow" w:hAnsi="Arial Narrow" w:cs="Arial Narrow"/>
          <w:sz w:val="16"/>
          <w:szCs w:val="16"/>
          <w:lang w:val="lv-LV"/>
        </w:rPr>
        <w:t xml:space="preserve"> un 2020.</w:t>
      </w:r>
      <w:r w:rsidRPr="00CF1F3B">
        <w:rPr>
          <w:rFonts w:ascii="Arial Narrow" w:eastAsia="Arial Narrow" w:hAnsi="Arial Narrow" w:cs="Arial Narrow"/>
          <w:sz w:val="16"/>
          <w:szCs w:val="16"/>
          <w:lang w:val="lv-LV"/>
        </w:rPr>
        <w:t xml:space="preserve"> gad</w:t>
      </w:r>
      <w:r>
        <w:rPr>
          <w:rFonts w:ascii="Arial Narrow" w:eastAsia="Arial Narrow" w:hAnsi="Arial Narrow" w:cs="Arial Narrow"/>
          <w:sz w:val="16"/>
          <w:szCs w:val="16"/>
          <w:lang w:val="lv-LV"/>
        </w:rPr>
        <w:t>os</w:t>
      </w:r>
      <w:r w:rsidRPr="00CF1F3B">
        <w:rPr>
          <w:rFonts w:ascii="Arial Narrow" w:eastAsia="Arial Narrow" w:hAnsi="Arial Narrow" w:cs="Arial Narrow"/>
          <w:sz w:val="16"/>
          <w:szCs w:val="16"/>
          <w:lang w:val="lv-LV"/>
        </w:rPr>
        <w:t xml:space="preserve"> Koncerns cedēja debitoru parādus saistītām un nesaistītām pusēm</w:t>
      </w:r>
      <w:r>
        <w:rPr>
          <w:rFonts w:ascii="Arial Narrow" w:eastAsia="Arial Narrow" w:hAnsi="Arial Narrow" w:cs="Arial Narrow"/>
          <w:sz w:val="16"/>
          <w:szCs w:val="16"/>
          <w:lang w:val="lv-LV"/>
        </w:rPr>
        <w:t xml:space="preserve">. </w:t>
      </w:r>
      <w:r w:rsidRPr="00CF1F3B">
        <w:rPr>
          <w:rFonts w:ascii="Arial Narrow" w:eastAsia="Arial Narrow" w:hAnsi="Arial Narrow" w:cs="Arial Narrow"/>
          <w:sz w:val="16"/>
          <w:szCs w:val="16"/>
          <w:lang w:val="lv-LV"/>
        </w:rPr>
        <w:t xml:space="preserve">Plašāka informācija par darījumiem ar saistītām pusēm ir sniegta </w:t>
      </w:r>
      <w:r w:rsidRPr="00CF1F3B">
        <w:rPr>
          <w:rFonts w:ascii="Arial Narrow" w:eastAsia="Arial Narrow" w:hAnsi="Arial Narrow" w:cs="Arial Narrow"/>
          <w:sz w:val="16"/>
          <w:szCs w:val="16"/>
          <w:lang w:val="lv-LV"/>
        </w:rPr>
        <w:t>36</w:t>
      </w:r>
      <w:r w:rsidRPr="00CF1F3B">
        <w:rPr>
          <w:rFonts w:ascii="Arial Narrow" w:eastAsia="Arial Narrow" w:hAnsi="Arial Narrow" w:cs="Arial Narrow"/>
          <w:sz w:val="16"/>
          <w:szCs w:val="16"/>
          <w:lang w:val="lv-LV"/>
        </w:rPr>
        <w:t>. piezīmē.</w:t>
      </w:r>
    </w:p>
    <w:p w:rsidR="006D2B18" w:rsidRPr="00CF1F3B" w:rsidP="006D2B18" w14:paraId="4C904D30" w14:textId="5334F4C9">
      <w:pPr>
        <w:rPr>
          <w:rFonts w:ascii="Arial Narrow" w:eastAsia="Arial Narrow" w:hAnsi="Arial Narrow" w:cs="Arial Narrow"/>
          <w:sz w:val="16"/>
          <w:szCs w:val="16"/>
          <w:lang w:val="lv-LV"/>
        </w:rPr>
      </w:pPr>
      <w:r w:rsidRPr="00CF1F3B">
        <w:rPr>
          <w:rFonts w:ascii="Arial Narrow" w:eastAsia="Arial Narrow" w:hAnsi="Arial Narrow" w:cs="Arial Narrow"/>
          <w:sz w:val="16"/>
          <w:szCs w:val="16"/>
          <w:lang w:val="lv-LV"/>
        </w:rPr>
        <w:t xml:space="preserve">Portfelis, kas tika cedēts saistītai pusei, ietver tikai aktīvus līgumus, kas </w:t>
      </w:r>
      <w:r w:rsidRPr="00CF1F3B">
        <w:rPr>
          <w:rFonts w:ascii="Arial Narrow" w:eastAsia="Arial Narrow" w:hAnsi="Arial Narrow" w:cs="Arial Narrow"/>
          <w:sz w:val="16"/>
          <w:szCs w:val="16"/>
          <w:lang w:val="lv-LV"/>
        </w:rPr>
        <w:t>būtiski palielināja cesijas ienākumus, bet līgumi, kas tika cedēti nesaistītām pusēm, ietver bezcerīgus parādus, kuru līgumi ir tikuši pārtraukti un kurus Koncerns nesagaidīja atgūt pilnā apmērā, pārjaunojot līgumu.</w:t>
      </w:r>
    </w:p>
    <w:p w:rsidR="006D2B18" w:rsidRPr="00CF1F3B" w:rsidP="006D2B18" w14:paraId="06297252" w14:textId="7DCD7F84">
      <w:pPr>
        <w:rPr>
          <w:rFonts w:ascii="Arial Narrow" w:eastAsia="Arial Narrow" w:hAnsi="Arial Narrow" w:cs="Arial Narrow"/>
          <w:sz w:val="16"/>
          <w:szCs w:val="16"/>
          <w:lang w:val="lv-LV"/>
        </w:rPr>
      </w:pPr>
      <w:r w:rsidRPr="00CF1F3B">
        <w:rPr>
          <w:rFonts w:ascii="Arial Narrow" w:eastAsia="Arial Narrow" w:hAnsi="Arial Narrow" w:cs="Arial Narrow"/>
          <w:sz w:val="16"/>
          <w:szCs w:val="16"/>
          <w:lang w:val="lv-LV"/>
        </w:rPr>
        <w:t>Cedējot no finanšu nomas izrietošās pras</w:t>
      </w:r>
      <w:r w:rsidRPr="00CF1F3B">
        <w:rPr>
          <w:rFonts w:ascii="Arial Narrow" w:eastAsia="Arial Narrow" w:hAnsi="Arial Narrow" w:cs="Arial Narrow"/>
          <w:sz w:val="16"/>
          <w:szCs w:val="16"/>
          <w:lang w:val="lv-LV"/>
        </w:rPr>
        <w:t xml:space="preserve">ības vai kredītu un izsniegto avansu portfeli, Koncerns </w:t>
      </w:r>
      <w:r w:rsidRPr="00172214">
        <w:rPr>
          <w:rFonts w:ascii="Arial Narrow" w:eastAsia="Arial Narrow" w:hAnsi="Arial Narrow" w:cs="Arial Narrow"/>
          <w:sz w:val="16"/>
          <w:szCs w:val="16"/>
          <w:lang w:val="lv-LV"/>
        </w:rPr>
        <w:t>reversē</w:t>
      </w:r>
      <w:r w:rsidRPr="00CF1F3B">
        <w:rPr>
          <w:rFonts w:ascii="Arial Narrow" w:eastAsia="Arial Narrow" w:hAnsi="Arial Narrow" w:cs="Arial Narrow"/>
          <w:sz w:val="16"/>
          <w:szCs w:val="16"/>
          <w:lang w:val="lv-LV"/>
        </w:rPr>
        <w:t xml:space="preserve"> cedētajiem aktīviem izveidoto uzkrājumu vērtības samazinājumam daļu (</w:t>
      </w:r>
      <w:r w:rsidRPr="00CF1F3B">
        <w:rPr>
          <w:rFonts w:ascii="Arial Narrow" w:eastAsia="Arial Narrow" w:hAnsi="Arial Narrow" w:cs="Arial Narrow"/>
          <w:sz w:val="16"/>
          <w:szCs w:val="16"/>
          <w:lang w:val="lv-LV"/>
        </w:rPr>
        <w:t>19</w:t>
      </w:r>
      <w:r w:rsidRPr="00CF1F3B">
        <w:rPr>
          <w:rFonts w:ascii="Arial Narrow" w:eastAsia="Arial Narrow" w:hAnsi="Arial Narrow" w:cs="Arial Narrow"/>
          <w:sz w:val="16"/>
          <w:szCs w:val="16"/>
          <w:lang w:val="lv-LV"/>
        </w:rPr>
        <w:t xml:space="preserve">. piezīme un </w:t>
      </w:r>
      <w:r w:rsidRPr="00CF1F3B">
        <w:rPr>
          <w:rFonts w:ascii="Arial Narrow" w:eastAsia="Arial Narrow" w:hAnsi="Arial Narrow" w:cs="Arial Narrow"/>
          <w:sz w:val="16"/>
          <w:szCs w:val="16"/>
          <w:lang w:val="lv-LV"/>
        </w:rPr>
        <w:t>20</w:t>
      </w:r>
      <w:r w:rsidRPr="00CF1F3B">
        <w:rPr>
          <w:rFonts w:ascii="Arial Narrow" w:eastAsia="Arial Narrow" w:hAnsi="Arial Narrow" w:cs="Arial Narrow"/>
          <w:sz w:val="16"/>
          <w:szCs w:val="16"/>
          <w:lang w:val="lv-LV"/>
        </w:rPr>
        <w:t>. piezīme).</w:t>
      </w:r>
    </w:p>
    <w:p w:rsidR="00777F05" w:rsidRPr="00CF1F3B" w:rsidP="006D2B18" w14:textId="5736E8B7">
      <w:pPr>
        <w:rPr>
          <w:rFonts w:ascii="Arial Narrow" w:eastAsia="Arial Narrow" w:hAnsi="Arial Narrow" w:cs="Arial Narrow"/>
          <w:sz w:val="16"/>
          <w:szCs w:val="16"/>
          <w:lang w:val="lv-LV"/>
        </w:rPr>
      </w:pPr>
      <w:r w:rsidRPr="00CF1F3B">
        <w:rPr>
          <w:rFonts w:ascii="Arial Narrow" w:eastAsia="Arial Narrow" w:hAnsi="Arial Narrow" w:cs="Arial Narrow"/>
          <w:sz w:val="16"/>
          <w:szCs w:val="16"/>
          <w:lang w:val="lv-LV"/>
        </w:rPr>
        <w:t>Neto zaudējumus, kas rodas no cedētā portfeļa atzīšanas pārtraukšanas, Konce</w:t>
      </w:r>
      <w:r w:rsidRPr="00CF1F3B">
        <w:rPr>
          <w:rFonts w:ascii="Arial Narrow" w:eastAsia="Arial Narrow" w:hAnsi="Arial Narrow" w:cs="Arial Narrow"/>
          <w:sz w:val="16"/>
          <w:szCs w:val="16"/>
          <w:lang w:val="lv-LV"/>
        </w:rPr>
        <w:t>rns atzīst atsevišķi un samazina par cesijas ienākumiem.</w:t>
      </w:r>
    </w:p>
    <w:p/>
    <w:tbl>
      <w:tblPr>
        <w:tblStyle w:val="CDMRange2"/>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 Ar savstarpējo kreditēšanas platformu pakalpojumiem saistītās izmaksas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Maksa par savstarpējās kreditēšanas platformas izmantošanu</w:t>
            </w:r>
          </w:p>
        </w:tc>
        <w:tc>
          <w:tcPr>
            <w:tcW w:w="1800" w:type="dxa"/>
            <w:gridSpan w:val="2"/>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126,554</w:t>
            </w:r>
          </w:p>
        </w:tc>
        <w:tc>
          <w:tcPr>
            <w:tcW w:w="1800" w:type="dxa"/>
            <w:gridSpan w:val="2"/>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188,084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126,554</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188,084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bl>
    <w:tbl>
      <w:tblPr>
        <w:tblStyle w:val="CDMRange1"/>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 Ieņēmumi no automašīnu pārdošanas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Ieņēmumi no līgumiem ar klientiem, kas atzīti konkrētā brīdī:</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Ieņēmumi no automašīnu pārdošanas</w:t>
            </w:r>
          </w:p>
        </w:tc>
        <w:tc>
          <w:tcPr>
            <w:tcW w:w="1800" w:type="dxa"/>
            <w:gridSpan w:val="2"/>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3,777,225</w:t>
            </w:r>
          </w:p>
        </w:tc>
        <w:tc>
          <w:tcPr>
            <w:tcW w:w="1800" w:type="dxa"/>
            <w:gridSpan w:val="2"/>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4,084,877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3,777,225</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4,084,877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Izdevumi no līgumiem ar klientiem, kas atzīti konkrētā brīdī:</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Automašīnu pārdošanas izdevumi</w:t>
            </w:r>
          </w:p>
        </w:tc>
        <w:tc>
          <w:tcPr>
            <w:tcW w:w="1800" w:type="dxa"/>
            <w:gridSpan w:val="2"/>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(3,889,443)</w:t>
            </w:r>
          </w:p>
        </w:tc>
        <w:tc>
          <w:tcPr>
            <w:tcW w:w="1800" w:type="dxa"/>
            <w:gridSpan w:val="2"/>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(5,344,165)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(3,889,443)</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(5,344,165)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Kopā neto ieņēmumi/(zaudējumi) no līgumiem ar klientiem, kas atzīti konkrētā brīdī:</w:t>
            </w:r>
          </w:p>
        </w:tc>
        <w:tc>
          <w:tcPr>
            <w:tcW w:w="1800" w:type="dxa"/>
            <w:gridSpan w:val="2"/>
            <w:tcBorders>
              <w:top w:val="nil"/>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(112,218)</w:t>
            </w:r>
          </w:p>
        </w:tc>
        <w:tc>
          <w:tcPr>
            <w:tcW w:w="1800" w:type="dxa"/>
            <w:gridSpan w:val="2"/>
            <w:tcBorders>
              <w:top w:val="nil"/>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(1,259,288)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bl>
    <w:p>
      <w:pPr>
        <w:spacing w:before="0" w:beforeAutospacing="0" w:after="0" w:afterAutospacing="0" w:line="240" w:lineRule="auto"/>
        <w:rPr>
          <w:rFonts w:ascii="Arial Narrow" w:eastAsia="Arial Narrow" w:hAnsi="Arial Narrow" w:cs="Arial Narrow"/>
          <w:sz w:val="16"/>
        </w:rPr>
      </w:pPr>
    </w:p>
    <w:p w:rsidR="00777F05" w:rsidRPr="00156674" w:rsidP="00156674" w14:textId="344BCB40">
      <w:pPr>
        <w:rPr>
          <w:rFonts w:ascii="Arial Narrow" w:eastAsia="Arial Narrow" w:hAnsi="Arial Narrow" w:cs="Arial Narrow"/>
          <w:lang w:val="lv-LV"/>
        </w:rPr>
      </w:pPr>
      <w:bookmarkStart w:id="1159" w:name="RG_MARKER_6619"/>
      <w:bookmarkStart w:id="1160" w:name="RG_MARKER_6435"/>
      <w:r w:rsidRPr="00156674">
        <w:rPr>
          <w:rFonts w:ascii="Arial Narrow" w:eastAsia="Arial Narrow" w:hAnsi="Arial Narrow" w:cs="Arial Narrow"/>
          <w:sz w:val="16"/>
          <w:szCs w:val="16"/>
          <w:lang w:val="lv-LV"/>
        </w:rPr>
        <w:t>Kaut arī neto rezultāts no pārdošanas ir zaudējumi 2021. un 2020. gadā, grupa atgūst automašīnas vērtību caur automašīnu lietošanu, piemēram, nomas ienākumi - pirms faktiskās pārdošanas.</w:t>
      </w:r>
      <w:bookmarkEnd w:id="1160"/>
      <w:bookmarkEnd w:id="1159"/>
    </w:p>
    <w:tbl>
      <w:tblPr>
        <w:tblStyle w:val="CDMRange2"/>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pageBreakBefore/>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12. Pārdošanas izmaksas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TV un radio mārketinga izdevumi</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7,019</w:t>
            </w:r>
          </w:p>
        </w:tc>
        <w:tc>
          <w:tcPr>
            <w:tcW w:w="1800" w:type="dxa"/>
            <w:gridSpan w:val="2"/>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3,459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Mārketinga pakalpojumu izdevumi (tai skaitā vides reklāmas)</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53,891</w:t>
            </w:r>
          </w:p>
        </w:tc>
        <w:tc>
          <w:tcPr>
            <w:tcW w:w="180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38,824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Reklāma tiešsaistē</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79,273</w:t>
            </w:r>
          </w:p>
        </w:tc>
        <w:tc>
          <w:tcPr>
            <w:tcW w:w="1800" w:type="dxa"/>
            <w:gridSpan w:val="2"/>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53,983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Mārketinga izdevumi kopā</w:t>
            </w:r>
          </w:p>
        </w:tc>
        <w:tc>
          <w:tcPr>
            <w:tcW w:w="1800" w:type="dxa"/>
            <w:gridSpan w:val="2"/>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140,183</w:t>
            </w:r>
          </w:p>
        </w:tc>
        <w:tc>
          <w:tcPr>
            <w:tcW w:w="1800" w:type="dxa"/>
            <w:gridSpan w:val="2"/>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96,266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Pārējās pārdošanas izmaksas</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14,046</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15,886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154,229</w:t>
            </w:r>
          </w:p>
        </w:tc>
        <w:tc>
          <w:tcPr>
            <w:tcW w:w="1800" w:type="dxa"/>
            <w:gridSpan w:val="2"/>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112,152</w:t>
            </w:r>
          </w:p>
        </w:tc>
      </w:tr>
    </w:tbl>
    <w:p>
      <w:pPr>
        <w:spacing w:before="0" w:beforeAutospacing="0" w:after="0" w:afterAutospacing="0" w:line="240" w:lineRule="auto"/>
        <w:rPr>
          <w:rFonts w:ascii="Arial Narrow" w:eastAsia="Arial Narrow" w:hAnsi="Arial Narrow" w:cs="Arial Narrow"/>
          <w:sz w:val="16"/>
        </w:rPr>
      </w:pPr>
    </w:p>
    <w:p w:rsidR="00777F05" w:rsidRPr="00170F4E" w:rsidP="00170F4E" w14:textId="14682AB9">
      <w:pPr>
        <w:rPr>
          <w:rFonts w:ascii="Arial Narrow" w:eastAsia="Arial Narrow" w:hAnsi="Arial Narrow" w:cs="Arial Narrow"/>
        </w:rPr>
      </w:pPr>
      <w:bookmarkStart w:id="1161" w:name="RG_MARKER_6436"/>
      <w:bookmarkStart w:id="1162" w:name="RG_MARKER_6620"/>
      <w:bookmarkEnd w:id="1162"/>
      <w:bookmarkEnd w:id="1161"/>
      <w:r>
        <w:t xml:space="preserve"> </w:t>
      </w:r>
    </w:p>
    <w:p>
      <w:pPr>
        <w:spacing w:before="0" w:beforeAutospacing="0" w:after="0" w:afterAutospacing="0" w:line="240" w:lineRule="auto"/>
        <w:rPr>
          <w:rFonts w:ascii="Arial Narrow" w:eastAsia="Arial Narrow" w:hAnsi="Arial Narrow" w:cs="Arial Narrow"/>
          <w:sz w:val="16"/>
        </w:rPr>
      </w:pPr>
    </w:p>
    <w:tbl>
      <w:tblPr>
        <w:tblStyle w:val="CDMRange1"/>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13. Administrācijas izmaksas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Darbinieku algas</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1,510,693</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1,489,302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Nemateriālo ieguldījumu un pamatlīdzekļu nolietojums</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2,503,566</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2,484,245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Maksa par vadības pakalpojumiem</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1,095,113</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1,016,444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Profesionālie pakalpojumi*</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104,193</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156,205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Kredītu datu bāžu izdevumi</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104,900</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90,333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IT pakalpojumi</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94,659</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39,536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Biroja un filiāļu uzturēšanas izdevumi</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79,572</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83,586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Personāla atlases pakalpojumi</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Komandējumu izmaksas</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Komunikāciju izmaksas</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19,954</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22,635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Citas personāla izmaksas</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33,927</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40,024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Mazvērtīgā inventāra izdevumi</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6,668</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5,815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Bankas komisijas</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23,585</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9,799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Transporta izdevumi</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495</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1,838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Citi administrācijas izdevumi</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59,463</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66,569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5,636,788</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5,506,704</w:t>
            </w:r>
          </w:p>
        </w:tc>
      </w:tr>
    </w:tbl>
    <w:p>
      <w:pPr>
        <w:spacing w:before="0" w:beforeAutospacing="0" w:after="0" w:afterAutospacing="0" w:line="240" w:lineRule="auto"/>
        <w:rPr>
          <w:rFonts w:ascii="Arial Narrow" w:eastAsia="Arial Narrow" w:hAnsi="Arial Narrow" w:cs="Arial Narrow"/>
          <w:sz w:val="16"/>
        </w:rPr>
      </w:pPr>
    </w:p>
    <w:p w:rsidR="00777F05" w:rsidRPr="0055243E" w:rsidP="000D651A" w14:textId="0E9246E0">
      <w:pPr>
        <w:spacing w:line="360" w:lineRule="auto"/>
        <w:jc w:val="both"/>
        <w:rPr>
          <w:rFonts w:ascii="Arial Narrow" w:eastAsia="Arial Narrow" w:hAnsi="Arial Narrow" w:cs="Arial Narrow"/>
          <w:color w:val="FF0000"/>
          <w:sz w:val="16"/>
          <w:szCs w:val="16"/>
          <w:lang w:val="lv-LV"/>
        </w:rPr>
      </w:pPr>
      <w:bookmarkStart w:id="1163" w:name="RG_MARKER_6621"/>
      <w:bookmarkStart w:id="1164" w:name="RG_MARKER_6437"/>
      <w:r w:rsidRPr="0055243E">
        <w:rPr>
          <w:rFonts w:ascii="Arial Narrow" w:eastAsia="Arial Narrow" w:hAnsi="Arial Narrow" w:cs="Arial Narrow"/>
          <w:sz w:val="16"/>
          <w:szCs w:val="16"/>
          <w:lang w:val="lv-LV"/>
        </w:rPr>
        <w:t>* Maksa par Koncerna sabiedrību 202</w:t>
      </w:r>
      <w:bookmarkEnd w:id="1164"/>
      <w:bookmarkEnd w:id="1163"/>
      <w:r w:rsidRPr="0055243E">
        <w:rPr>
          <w:rFonts w:ascii="Arial Narrow" w:eastAsia="Arial Narrow" w:hAnsi="Arial Narrow" w:cs="Arial Narrow"/>
          <w:sz w:val="16"/>
          <w:szCs w:val="16"/>
          <w:lang w:val="lv-LV"/>
        </w:rPr>
        <w:t>1</w:t>
      </w:r>
      <w:r w:rsidRPr="0055243E">
        <w:rPr>
          <w:rFonts w:ascii="Arial Narrow" w:eastAsia="Arial Narrow" w:hAnsi="Arial Narrow" w:cs="Arial Narrow"/>
          <w:sz w:val="16"/>
          <w:szCs w:val="16"/>
          <w:lang w:val="lv-LV"/>
        </w:rPr>
        <w:t xml:space="preserve">. gada finanšu pārskatu revīziju </w:t>
      </w:r>
      <w:r w:rsidRPr="0055243E">
        <w:rPr>
          <w:rFonts w:ascii="Arial Narrow" w:eastAsia="Arial Narrow" w:hAnsi="Arial Narrow" w:cs="Arial Narrow"/>
          <w:sz w:val="16"/>
          <w:szCs w:val="16"/>
          <w:lang w:val="lv-LV"/>
        </w:rPr>
        <w:t>veido 87</w:t>
      </w:r>
      <w:r w:rsidRPr="0055243E">
        <w:rPr>
          <w:rFonts w:ascii="Arial Narrow" w:eastAsia="Arial Narrow" w:hAnsi="Arial Narrow" w:cs="Arial Narrow"/>
          <w:sz w:val="16"/>
          <w:szCs w:val="16"/>
          <w:lang w:val="lv-LV"/>
        </w:rPr>
        <w:t xml:space="preserve"> 000 EUR, Mātes sabiedrībai –</w:t>
      </w:r>
      <w:r w:rsidRPr="0055243E">
        <w:rPr>
          <w:rFonts w:ascii="Arial Narrow" w:eastAsia="Arial Narrow" w:hAnsi="Arial Narrow" w:cs="Arial Narrow"/>
          <w:sz w:val="16"/>
          <w:szCs w:val="16"/>
          <w:lang w:val="lv-LV"/>
        </w:rPr>
        <w:t xml:space="preserve"> 55</w:t>
      </w:r>
      <w:r w:rsidRPr="0055243E">
        <w:rPr>
          <w:rFonts w:ascii="Arial Narrow" w:eastAsia="Arial Narrow" w:hAnsi="Arial Narrow" w:cs="Arial Narrow"/>
          <w:sz w:val="16"/>
          <w:szCs w:val="16"/>
          <w:lang w:val="lv-LV"/>
        </w:rPr>
        <w:t xml:space="preserve"> 000 EUR (2020</w:t>
      </w:r>
      <w:r w:rsidRPr="0055243E">
        <w:rPr>
          <w:rFonts w:ascii="Arial Narrow" w:eastAsia="Arial Narrow" w:hAnsi="Arial Narrow" w:cs="Arial Narrow"/>
          <w:sz w:val="16"/>
          <w:szCs w:val="16"/>
          <w:lang w:val="lv-LV"/>
        </w:rPr>
        <w:t>: EUR 92 000</w:t>
      </w:r>
      <w:r w:rsidRPr="0055243E">
        <w:rPr>
          <w:rFonts w:ascii="Arial Narrow" w:eastAsia="Arial Narrow" w:hAnsi="Arial Narrow" w:cs="Arial Narrow"/>
          <w:sz w:val="16"/>
          <w:szCs w:val="16"/>
          <w:lang w:val="lv-LV"/>
        </w:rPr>
        <w:t>; Mātes sabiedrībai – 60</w:t>
      </w:r>
      <w:r w:rsidRPr="0055243E">
        <w:rPr>
          <w:rFonts w:ascii="Arial Narrow" w:eastAsia="Arial Narrow" w:hAnsi="Arial Narrow" w:cs="Arial Narrow"/>
          <w:sz w:val="16"/>
          <w:szCs w:val="16"/>
          <w:lang w:val="lv-LV"/>
        </w:rPr>
        <w:t xml:space="preserve"> 0</w:t>
      </w:r>
      <w:r w:rsidRPr="0055243E">
        <w:rPr>
          <w:rFonts w:ascii="Arial Narrow" w:eastAsia="Arial Narrow" w:hAnsi="Arial Narrow" w:cs="Arial Narrow"/>
          <w:sz w:val="16"/>
          <w:szCs w:val="16"/>
          <w:lang w:val="lv-LV"/>
        </w:rPr>
        <w:t>00 EUR).</w:t>
      </w:r>
      <w:r w:rsidRPr="0055243E">
        <w:rPr>
          <w:rFonts w:ascii="Arial Narrow" w:eastAsia="Arial Narrow" w:hAnsi="Arial Narrow" w:cs="Arial Narrow"/>
          <w:sz w:val="14"/>
          <w:szCs w:val="14"/>
          <w:lang w:val="lv-LV"/>
        </w:rPr>
        <w:tab/>
      </w:r>
      <w:r w:rsidRPr="0055243E">
        <w:rPr>
          <w:rFonts w:ascii="Arial Narrow" w:eastAsia="Arial Narrow" w:hAnsi="Arial Narrow" w:cs="Arial Narrow"/>
          <w:sz w:val="14"/>
          <w:szCs w:val="14"/>
          <w:lang w:val="lv-LV"/>
        </w:rPr>
        <w:tab/>
      </w:r>
      <w:r w:rsidRPr="0055243E">
        <w:rPr>
          <w:rFonts w:ascii="Arial Narrow" w:eastAsia="Arial Narrow" w:hAnsi="Arial Narrow" w:cs="Arial Narrow"/>
          <w:sz w:val="14"/>
          <w:szCs w:val="14"/>
          <w:lang w:val="lv-LV"/>
        </w:rPr>
        <w:tab/>
      </w:r>
      <w:r w:rsidRPr="0055243E">
        <w:rPr>
          <w:rFonts w:ascii="Arial Narrow" w:eastAsia="Arial Narrow" w:hAnsi="Arial Narrow" w:cs="Arial Narrow"/>
          <w:sz w:val="14"/>
          <w:szCs w:val="14"/>
          <w:lang w:val="lv-LV"/>
        </w:rPr>
        <w:tab/>
      </w:r>
    </w:p>
    <w:tbl>
      <w:tblPr>
        <w:tblStyle w:val="CDMRange2"/>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 xml:space="preserve">Atlīdzība augstākajai vadībai </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Valdes un padomes locekļi</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Darba alga</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208,349</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140,287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Valsts obligātās sociālās apdrošināšanas iemaksas</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49,149</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33,795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AE3F3"/>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257,498</w:t>
            </w:r>
          </w:p>
        </w:tc>
        <w:tc>
          <w:tcPr>
            <w:tcW w:w="1800" w:type="dxa"/>
            <w:gridSpan w:val="2"/>
            <w:tcBorders>
              <w:top w:val="single" w:sz="4" w:space="0" w:color="000000"/>
              <w:left w:val="nil"/>
              <w:bottom w:val="double" w:sz="6" w:space="0" w:color="000000"/>
              <w:right w:val="nil"/>
              <w:tl2br w:val="nil"/>
              <w:tr2bl w:val="nil"/>
            </w:tcBorders>
            <w:shd w:val="clear" w:color="FFFFFF" w:fill="DAE3F3"/>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174,082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bl>
    <w:p>
      <w:pPr>
        <w:spacing w:before="0" w:beforeAutospacing="0" w:after="0" w:afterAutospacing="0" w:line="240" w:lineRule="auto"/>
        <w:rPr>
          <w:rFonts w:ascii="Arial Narrow" w:eastAsia="Arial Narrow" w:hAnsi="Arial Narrow" w:cs="Arial Narrow"/>
          <w:sz w:val="16"/>
        </w:rPr>
      </w:pPr>
    </w:p>
    <w:p w:rsidR="00777F05" w:rsidRPr="005C1E55" w:rsidP="005C1E55" w14:textId="6155FCC9">
      <w:pPr>
        <w:spacing w:line="360" w:lineRule="auto"/>
        <w:jc w:val="both"/>
        <w:rPr>
          <w:rFonts w:ascii="Arial Narrow" w:eastAsia="Arial Narrow" w:hAnsi="Arial Narrow" w:cs="Arial Narrow"/>
          <w:sz w:val="16"/>
          <w:szCs w:val="16"/>
        </w:rPr>
      </w:pPr>
      <w:bookmarkStart w:id="1165" w:name="RG_MARKER_6622"/>
      <w:r w:rsidRPr="005C1E55">
        <w:rPr>
          <w:rFonts w:ascii="Arial Narrow" w:eastAsia="Arial Narrow" w:hAnsi="Arial Narrow" w:cs="Arial Narrow"/>
          <w:sz w:val="16"/>
          <w:szCs w:val="16"/>
        </w:rPr>
        <w:t>202</w:t>
      </w:r>
      <w:bookmarkEnd w:id="1165"/>
      <w:r>
        <w:rPr>
          <w:rFonts w:ascii="Arial Narrow" w:eastAsia="Arial Narrow" w:hAnsi="Arial Narrow" w:cs="Arial Narrow"/>
          <w:sz w:val="16"/>
          <w:szCs w:val="16"/>
        </w:rPr>
        <w:t>1</w:t>
      </w:r>
      <w:r w:rsidRPr="005C1E55">
        <w:rPr>
          <w:rFonts w:ascii="Arial Narrow" w:eastAsia="Arial Narrow" w:hAnsi="Arial Narrow" w:cs="Arial Narrow"/>
          <w:sz w:val="16"/>
          <w:szCs w:val="16"/>
        </w:rPr>
        <w:t>. gada 31. decembrī nav saistību pret Koncerna valdes locekļiem (20</w:t>
      </w:r>
      <w:r>
        <w:rPr>
          <w:rFonts w:ascii="Arial Narrow" w:eastAsia="Arial Narrow" w:hAnsi="Arial Narrow" w:cs="Arial Narrow"/>
          <w:sz w:val="16"/>
          <w:szCs w:val="16"/>
        </w:rPr>
        <w:t>20</w:t>
      </w:r>
      <w:r w:rsidRPr="005C1E55">
        <w:rPr>
          <w:rFonts w:ascii="Arial Narrow" w:eastAsia="Arial Narrow" w:hAnsi="Arial Narrow" w:cs="Arial Narrow"/>
          <w:sz w:val="16"/>
          <w:szCs w:val="16"/>
        </w:rPr>
        <w:t>. gada 31. decembrī: 0). Valdes locekļiem nav piešķirts atalgojums un Koncernam nav saistību attiecībā uz bijušo valdes locekļu vecuma pensijām.</w:t>
      </w:r>
    </w:p>
    <w:tbl>
      <w:tblPr>
        <w:tblStyle w:val="CDMRange1"/>
        <w:tblW w:w="8580" w:type="dxa"/>
        <w:tblLayout w:type="fixed"/>
        <w:tblLook w:val="0600"/>
      </w:tblPr>
      <w:tblGrid>
        <w:gridCol w:w="4980"/>
        <w:gridCol w:w="900"/>
        <w:gridCol w:w="900"/>
        <w:gridCol w:w="900"/>
        <w:gridCol w:w="900"/>
      </w:tblGrid>
      <w:tr>
        <w:tblPrEx>
          <w:tblW w:w="8580" w:type="dxa"/>
          <w:tblLayout w:type="fixed"/>
          <w:tblLook w:val="0600"/>
        </w:tblPrEx>
        <w:trPr>
          <w:trHeight w:hRule="exact" w:val="255"/>
        </w:trPr>
        <w:tc>
          <w:tcPr>
            <w:tcW w:w="498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pageBreakBefore/>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14. Pārējie saimnieciskās darbības ieņēmumi</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98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98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98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98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Ieņēmumi no klientu piesaistes pakalpojumiem*</w:t>
            </w: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529,705</w:t>
            </w: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221,064</w:t>
            </w:r>
          </w:p>
        </w:tc>
      </w:tr>
      <w:tr>
        <w:tblPrEx>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98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Ieņēmumi no pakalpojumu maksas</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292,947</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227,481</w:t>
            </w:r>
          </w:p>
        </w:tc>
      </w:tr>
      <w:tr>
        <w:tblPrEx>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98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Ienākumi, kas atzīti no finanšu garantijas amortizācijas (Piezīme 39)</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1,216,319</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1,644,584</w:t>
            </w:r>
          </w:p>
        </w:tc>
      </w:tr>
      <w:tr>
        <w:tblPrEx>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98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Izmaiņas uzkrājumos iespējamām PVN saistībām un soda naudām (Piezīme 30)</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211,280</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130,013</w:t>
            </w:r>
          </w:p>
        </w:tc>
      </w:tr>
      <w:tr>
        <w:tblPrEx>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98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Ienākumi no diskonta piemērošanas lietošanas tiesību aktīviem (Piezīme 18)</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20,575</w:t>
            </w:r>
          </w:p>
        </w:tc>
      </w:tr>
      <w:tr>
        <w:tblPrEx>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98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Pārējie saimnieciskās darbības ieņēmumi</w:t>
            </w: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165,149</w:t>
            </w: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187,293</w:t>
            </w:r>
          </w:p>
        </w:tc>
      </w:tr>
      <w:tr>
        <w:tblPrEx>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98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2,415,400</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2,431,010</w:t>
            </w:r>
          </w:p>
        </w:tc>
      </w:tr>
      <w:tr>
        <w:tblPrEx>
          <w:tblW w:w="8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98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bl>
    <w:p>
      <w:pPr>
        <w:spacing w:before="0" w:beforeAutospacing="0" w:after="0" w:afterAutospacing="0" w:line="240" w:lineRule="auto"/>
        <w:rPr>
          <w:rFonts w:ascii="Arial Narrow" w:eastAsia="Arial Narrow" w:hAnsi="Arial Narrow" w:cs="Arial Narrow"/>
          <w:sz w:val="16"/>
        </w:rPr>
      </w:pPr>
    </w:p>
    <w:p w:rsidR="00777F05" w:rsidRPr="00C73D0B" w:rsidP="00C73D0B" w14:textId="6039129E">
      <w:pPr>
        <w:rPr>
          <w:rFonts w:ascii="Arial Narrow" w:eastAsia="Arial Narrow" w:hAnsi="Arial Narrow" w:cs="Arial Narrow"/>
          <w:lang w:val="lv-LV"/>
        </w:rPr>
      </w:pPr>
      <w:bookmarkStart w:id="1166" w:name="RG_MARKER_6623"/>
      <w:bookmarkStart w:id="1167" w:name="RG_MARKER_6438"/>
      <w:r w:rsidRPr="00C73D0B">
        <w:rPr>
          <w:rFonts w:ascii="Arial Narrow" w:eastAsia="Arial Narrow" w:hAnsi="Arial Narrow" w:cs="Arial Narrow"/>
          <w:sz w:val="16"/>
          <w:szCs w:val="16"/>
          <w:lang w:val="lv-LV"/>
        </w:rPr>
        <w:t xml:space="preserve">*Ieņēmumos no komisijas maksas par klientu piesaisti tiek iekļauti ieņēmumi no saistītām pusēm. Ieņēmumi no saistītām pusēm pieauga no 221 064 eiro 2020. gadā līdz 529 705 eiro 2021. gadā </w:t>
      </w:r>
      <w:bookmarkEnd w:id="1167"/>
      <w:bookmarkEnd w:id="1166"/>
      <w:r w:rsidRPr="00381247">
        <w:rPr>
          <w:rFonts w:ascii="Arial Narrow" w:eastAsia="Arial Narrow" w:hAnsi="Arial Narrow" w:cs="Arial Narrow"/>
          <w:sz w:val="16"/>
          <w:szCs w:val="16"/>
          <w:lang w:val="lv-LV"/>
        </w:rPr>
        <w:t>AS Primero Finance izsniegto līgumu pieauguma dēļ.</w:t>
      </w:r>
    </w:p>
    <w:p/>
    <w:tbl>
      <w:tblPr>
        <w:tblStyle w:val="CDMRange2"/>
        <w:tblW w:w="9600" w:type="dxa"/>
        <w:tblLayout w:type="fixed"/>
        <w:tblLook w:val="0600"/>
      </w:tblPr>
      <w:tblGrid>
        <w:gridCol w:w="6000"/>
        <w:gridCol w:w="1800"/>
        <w:gridCol w:w="1800"/>
      </w:tblGrid>
      <w:tr>
        <w:tblPrEx>
          <w:tblW w:w="9600" w:type="dxa"/>
          <w:tblLayout w:type="fixed"/>
          <w:tblLook w:val="0600"/>
        </w:tblPrEx>
        <w:trPr>
          <w:trHeight w:val="255"/>
        </w:trPr>
        <w:tc>
          <w:tcPr>
            <w:tcW w:w="60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Ieņēmumi no līgumiem ar klientiem, kas atzīti konkrētā brīdī, darījumos, kuros Koncerns rīkojās kā pilnvarnieks*</w:t>
            </w:r>
          </w:p>
        </w:tc>
        <w:tc>
          <w:tcPr>
            <w:tcW w:w="18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18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8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Bruto ienākumi no darījumiem ar saistītām pusēm</w:t>
            </w:r>
          </w:p>
        </w:tc>
        <w:tc>
          <w:tcPr>
            <w:tcW w:w="18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556,495</w:t>
            </w:r>
          </w:p>
        </w:tc>
        <w:tc>
          <w:tcPr>
            <w:tcW w:w="18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411,504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Bruto izdevumi darījumos ar saistītām pusēm</w:t>
            </w:r>
          </w:p>
        </w:tc>
        <w:tc>
          <w:tcPr>
            <w:tcW w:w="18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(556,495)</w:t>
            </w:r>
          </w:p>
        </w:tc>
        <w:tc>
          <w:tcPr>
            <w:tcW w:w="18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(411,504)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180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r>
    </w:tbl>
    <w:p>
      <w:pPr>
        <w:spacing w:before="0" w:beforeAutospacing="0" w:after="0" w:afterAutospacing="0" w:line="240" w:lineRule="auto"/>
        <w:rPr>
          <w:rFonts w:ascii="Arial Narrow" w:eastAsia="Arial Narrow" w:hAnsi="Arial Narrow" w:cs="Arial Narrow"/>
          <w:sz w:val="16"/>
        </w:rPr>
      </w:pPr>
    </w:p>
    <w:p w:rsidR="00777F05" w:rsidRPr="00346137" w:rsidP="00346137" w14:textId="6CCDA6B1">
      <w:pPr>
        <w:jc w:val="both"/>
        <w:rPr>
          <w:rFonts w:ascii="Arial Narrow" w:eastAsia="Arial Narrow" w:hAnsi="Arial Narrow" w:cs="Arial Narrow"/>
          <w:sz w:val="16"/>
          <w:szCs w:val="16"/>
        </w:rPr>
      </w:pPr>
      <w:bookmarkStart w:id="1168" w:name="RG_MARKER_6624"/>
      <w:r w:rsidRPr="00346137">
        <w:rPr>
          <w:rFonts w:ascii="Arial Narrow" w:eastAsia="Arial Narrow" w:hAnsi="Arial Narrow" w:cs="Arial Narrow"/>
          <w:sz w:val="16"/>
          <w:szCs w:val="16"/>
        </w:rPr>
        <w:t xml:space="preserve">*Ieņēmumi no šo izdevumu iekasēšanas šajos konsolidētajos finanšu </w:t>
      </w:r>
      <w:bookmarkEnd w:id="1168"/>
      <w:r w:rsidRPr="00346137">
        <w:rPr>
          <w:rFonts w:ascii="Arial Narrow" w:eastAsia="Arial Narrow" w:hAnsi="Arial Narrow" w:cs="Arial Narrow"/>
          <w:sz w:val="16"/>
          <w:szCs w:val="16"/>
        </w:rPr>
        <w:t>pārskatos</w:t>
      </w:r>
      <w:r w:rsidRPr="00964F66">
        <w:rPr>
          <w:rFonts w:ascii="Arial Narrow" w:eastAsia="Arial Narrow" w:hAnsi="Arial Narrow" w:cs="Arial Narrow"/>
          <w:sz w:val="16"/>
          <w:szCs w:val="16"/>
        </w:rPr>
        <w:t xml:space="preserve">, </w:t>
      </w:r>
      <w:r w:rsidRPr="00964F66">
        <w:rPr>
          <w:rFonts w:ascii="Arial Narrow" w:eastAsia="Arial Narrow" w:hAnsi="Arial Narrow" w:cs="Arial Narrow"/>
          <w:sz w:val="16"/>
          <w:szCs w:val="16"/>
        </w:rPr>
        <w:t>kā</w:t>
      </w:r>
      <w:r w:rsidRPr="00964F66">
        <w:rPr>
          <w:rFonts w:ascii="Arial Narrow" w:eastAsia="Arial Narrow" w:hAnsi="Arial Narrow" w:cs="Arial Narrow"/>
          <w:sz w:val="16"/>
          <w:szCs w:val="16"/>
        </w:rPr>
        <w:t xml:space="preserve"> </w:t>
      </w:r>
      <w:r w:rsidRPr="00964F66">
        <w:rPr>
          <w:rFonts w:ascii="Arial Narrow" w:eastAsia="Arial Narrow" w:hAnsi="Arial Narrow" w:cs="Arial Narrow"/>
          <w:sz w:val="16"/>
          <w:szCs w:val="16"/>
        </w:rPr>
        <w:t>dīleru</w:t>
      </w:r>
      <w:r w:rsidRPr="00964F66">
        <w:rPr>
          <w:rFonts w:ascii="Arial Narrow" w:eastAsia="Arial Narrow" w:hAnsi="Arial Narrow" w:cs="Arial Narrow"/>
          <w:sz w:val="16"/>
          <w:szCs w:val="16"/>
        </w:rPr>
        <w:t xml:space="preserve"> </w:t>
      </w:r>
      <w:r w:rsidRPr="00964F66">
        <w:rPr>
          <w:rFonts w:ascii="Arial Narrow" w:eastAsia="Arial Narrow" w:hAnsi="Arial Narrow" w:cs="Arial Narrow"/>
          <w:sz w:val="16"/>
          <w:szCs w:val="16"/>
        </w:rPr>
        <w:t>komisijas</w:t>
      </w:r>
      <w:r w:rsidRPr="00964F66">
        <w:rPr>
          <w:rFonts w:ascii="Arial Narrow" w:eastAsia="Arial Narrow" w:hAnsi="Arial Narrow" w:cs="Arial Narrow"/>
          <w:sz w:val="16"/>
          <w:szCs w:val="16"/>
        </w:rPr>
        <w:t xml:space="preserve">, </w:t>
      </w:r>
      <w:r w:rsidRPr="00964F66">
        <w:rPr>
          <w:rFonts w:ascii="Arial Narrow" w:eastAsia="Arial Narrow" w:hAnsi="Arial Narrow" w:cs="Arial Narrow"/>
          <w:sz w:val="16"/>
          <w:szCs w:val="16"/>
        </w:rPr>
        <w:t>automašīnu</w:t>
      </w:r>
      <w:r w:rsidRPr="00964F66">
        <w:rPr>
          <w:rFonts w:ascii="Arial Narrow" w:eastAsia="Arial Narrow" w:hAnsi="Arial Narrow" w:cs="Arial Narrow"/>
          <w:sz w:val="16"/>
          <w:szCs w:val="16"/>
        </w:rPr>
        <w:t xml:space="preserve"> </w:t>
      </w:r>
      <w:r w:rsidRPr="00964F66">
        <w:rPr>
          <w:rFonts w:ascii="Arial Narrow" w:eastAsia="Arial Narrow" w:hAnsi="Arial Narrow" w:cs="Arial Narrow"/>
          <w:sz w:val="16"/>
          <w:szCs w:val="16"/>
        </w:rPr>
        <w:t>uzturēšanas</w:t>
      </w:r>
      <w:r w:rsidRPr="00964F66">
        <w:rPr>
          <w:rFonts w:ascii="Arial Narrow" w:eastAsia="Arial Narrow" w:hAnsi="Arial Narrow" w:cs="Arial Narrow"/>
          <w:sz w:val="16"/>
          <w:szCs w:val="16"/>
        </w:rPr>
        <w:t xml:space="preserve">, </w:t>
      </w:r>
      <w:r w:rsidRPr="00964F66">
        <w:rPr>
          <w:rFonts w:ascii="Arial Narrow" w:eastAsia="Arial Narrow" w:hAnsi="Arial Narrow" w:cs="Arial Narrow"/>
          <w:sz w:val="16"/>
          <w:szCs w:val="16"/>
        </w:rPr>
        <w:t>datubāzes</w:t>
      </w:r>
      <w:r w:rsidRPr="00964F66">
        <w:rPr>
          <w:rFonts w:ascii="Arial Narrow" w:eastAsia="Arial Narrow" w:hAnsi="Arial Narrow" w:cs="Arial Narrow"/>
          <w:sz w:val="16"/>
          <w:szCs w:val="16"/>
        </w:rPr>
        <w:t xml:space="preserve"> </w:t>
      </w:r>
      <w:r w:rsidRPr="00964F66">
        <w:rPr>
          <w:rFonts w:ascii="Arial Narrow" w:eastAsia="Arial Narrow" w:hAnsi="Arial Narrow" w:cs="Arial Narrow"/>
          <w:sz w:val="16"/>
          <w:szCs w:val="16"/>
        </w:rPr>
        <w:t>u.c.</w:t>
      </w:r>
      <w:r w:rsidRPr="00964F66">
        <w:rPr>
          <w:rFonts w:ascii="Arial Narrow" w:eastAsia="Arial Narrow" w:hAnsi="Arial Narrow" w:cs="Arial Narrow"/>
          <w:sz w:val="16"/>
          <w:szCs w:val="16"/>
        </w:rPr>
        <w:t xml:space="preserve"> </w:t>
      </w:r>
      <w:r w:rsidRPr="00964F66">
        <w:rPr>
          <w:rFonts w:ascii="Arial Narrow" w:eastAsia="Arial Narrow" w:hAnsi="Arial Narrow" w:cs="Arial Narrow"/>
          <w:sz w:val="16"/>
          <w:szCs w:val="16"/>
        </w:rPr>
        <w:t>izmaksas</w:t>
      </w:r>
      <w:r w:rsidRPr="00964F66">
        <w:rPr>
          <w:rFonts w:ascii="Arial Narrow" w:eastAsia="Arial Narrow" w:hAnsi="Arial Narrow" w:cs="Arial Narrow"/>
          <w:sz w:val="16"/>
          <w:szCs w:val="16"/>
        </w:rPr>
        <w:t>,</w:t>
      </w:r>
      <w:r w:rsidRPr="00346137">
        <w:rPr>
          <w:rFonts w:ascii="Arial Narrow" w:eastAsia="Arial Narrow" w:hAnsi="Arial Narrow" w:cs="Arial Narrow"/>
          <w:sz w:val="16"/>
          <w:szCs w:val="16"/>
        </w:rPr>
        <w:t xml:space="preserve"> ir uzrādīti neto vērtībā.</w:t>
      </w:r>
    </w:p>
    <w:tbl>
      <w:tblPr>
        <w:tblStyle w:val="CDMRange1"/>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9600" w:type="dxa"/>
            <w:gridSpan w:val="5"/>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15. Pārējās saimnieciskās darbības izmaksas</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Soda naudas</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279</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836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Zaudējumi no aktīvu lietošanas tiesību atcelšanas (18. piezīme)</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42,155</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Nomas autoparka uzturēšanas izmaksas*</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528,815</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327,356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Pārējās saimnieciskās darbības izmaksas</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68,347</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51,695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639,596</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379,887</w:t>
            </w:r>
          </w:p>
        </w:tc>
      </w:tr>
    </w:tbl>
    <w:p/>
    <w:p w:rsidR="00522739" w:rsidRPr="00975914" w:rsidP="00975914" w14:paraId="1869C743" w14:textId="5E25F40F">
      <w:pPr>
        <w:spacing w:line="360" w:lineRule="auto"/>
        <w:jc w:val="both"/>
        <w:rPr>
          <w:rFonts w:ascii="Arial Narrow" w:eastAsia="Arial Narrow" w:hAnsi="Arial Narrow" w:cs="Arial Narrow"/>
          <w:sz w:val="16"/>
          <w:szCs w:val="16"/>
        </w:rPr>
      </w:pPr>
      <w:bookmarkStart w:id="1169" w:name="RG_MARKER_6625"/>
      <w:bookmarkStart w:id="1170" w:name="RG_MARKER_6439"/>
      <w:r w:rsidRPr="00975914">
        <w:rPr>
          <w:rFonts w:ascii="Arial Narrow" w:eastAsia="Arial Narrow" w:hAnsi="Arial Narrow" w:cs="Arial Narrow"/>
          <w:sz w:val="16"/>
          <w:szCs w:val="16"/>
        </w:rPr>
        <w:t xml:space="preserve">*Izdevumi ir saistīti ar Koncerna sabiedrības AS “Renti” automašīnu uzturēšanu, ieskaitot </w:t>
      </w:r>
      <w:bookmarkEnd w:id="1170"/>
      <w:bookmarkEnd w:id="1169"/>
      <w:r w:rsidRPr="0097018B">
        <w:rPr>
          <w:rFonts w:ascii="Arial Narrow" w:eastAsia="Arial Narrow" w:hAnsi="Arial Narrow" w:cs="Arial Narrow"/>
          <w:sz w:val="16"/>
          <w:szCs w:val="16"/>
        </w:rPr>
        <w:t>maznozīmīgus</w:t>
      </w:r>
      <w:r w:rsidRPr="00975914">
        <w:rPr>
          <w:rFonts w:ascii="Arial Narrow" w:eastAsia="Arial Narrow" w:hAnsi="Arial Narrow" w:cs="Arial Narrow"/>
          <w:sz w:val="16"/>
          <w:szCs w:val="16"/>
        </w:rPr>
        <w:t xml:space="preserve"> remontus, automašīnu valsts reģistrācijas izdevumus, kā arī apdrošināšanas izmaksas.</w:t>
      </w:r>
    </w:p>
    <w:tbl>
      <w:tblPr>
        <w:tblStyle w:val="CDMRange2"/>
        <w:tblW w:w="9600" w:type="dxa"/>
        <w:tblLayout w:type="fixed"/>
        <w:tblLook w:val="0600"/>
      </w:tblPr>
      <w:tblGrid>
        <w:gridCol w:w="3705"/>
        <w:gridCol w:w="1965"/>
        <w:gridCol w:w="1965"/>
        <w:gridCol w:w="1965"/>
      </w:tblGrid>
      <w:tr>
        <w:tblPrEx>
          <w:tblW w:w="9600" w:type="dxa"/>
          <w:tblLayout w:type="fixed"/>
          <w:tblLook w:val="0600"/>
        </w:tblPrEx>
        <w:trPr>
          <w:trHeight w:hRule="exact" w:val="255"/>
        </w:trPr>
        <w:tc>
          <w:tcPr>
            <w:tcW w:w="3705"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pageBreakBefore/>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16. Nemateriālie ieguldījumi</w:t>
            </w:r>
          </w:p>
        </w:tc>
        <w:tc>
          <w:tcPr>
            <w:tcW w:w="196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96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96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96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96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96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96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 xml:space="preserve">    Licences</w:t>
            </w:r>
          </w:p>
        </w:tc>
        <w:tc>
          <w:tcPr>
            <w:tcW w:w="196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Citi nemateriālie aktīvi*</w:t>
            </w:r>
          </w:p>
        </w:tc>
        <w:tc>
          <w:tcPr>
            <w:tcW w:w="196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Sākotnējā vērtība</w:t>
            </w:r>
          </w:p>
        </w:tc>
        <w:tc>
          <w:tcPr>
            <w:tcW w:w="1965"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50,590</w:t>
            </w:r>
          </w:p>
        </w:tc>
        <w:tc>
          <w:tcPr>
            <w:tcW w:w="1965"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123,549</w:t>
            </w:r>
          </w:p>
        </w:tc>
        <w:tc>
          <w:tcPr>
            <w:tcW w:w="1965"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174,139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Uzkrātā amortizācija</w:t>
            </w:r>
          </w:p>
        </w:tc>
        <w:tc>
          <w:tcPr>
            <w:tcW w:w="1965"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(50,590)</w:t>
            </w:r>
          </w:p>
        </w:tc>
        <w:tc>
          <w:tcPr>
            <w:tcW w:w="1965"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(95,536)</w:t>
            </w:r>
          </w:p>
        </w:tc>
        <w:tc>
          <w:tcPr>
            <w:tcW w:w="1965"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(146,126)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705"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2020 gada 1. janvārī</w:t>
            </w:r>
          </w:p>
        </w:tc>
        <w:tc>
          <w:tcPr>
            <w:tcW w:w="1965"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1965"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28,013</w:t>
            </w:r>
          </w:p>
        </w:tc>
        <w:tc>
          <w:tcPr>
            <w:tcW w:w="1965"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28,013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705"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965"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965"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965"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2020</w:t>
            </w:r>
          </w:p>
        </w:tc>
        <w:tc>
          <w:tcPr>
            <w:tcW w:w="196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96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96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Iegāde</w:t>
            </w:r>
          </w:p>
        </w:tc>
        <w:tc>
          <w:tcPr>
            <w:tcW w:w="1965"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1965"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12,918</w:t>
            </w:r>
          </w:p>
        </w:tc>
        <w:tc>
          <w:tcPr>
            <w:tcW w:w="1965"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12,918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Izslēgšana</w:t>
            </w:r>
          </w:p>
        </w:tc>
        <w:tc>
          <w:tcPr>
            <w:tcW w:w="1965"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1965"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(70,667)</w:t>
            </w:r>
          </w:p>
        </w:tc>
        <w:tc>
          <w:tcPr>
            <w:tcW w:w="1965"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(70,667)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965"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965"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965" w:type="dxa"/>
            <w:tcBorders>
              <w:top w:val="nil"/>
              <w:left w:val="nil"/>
              <w:bottom w:val="nil"/>
              <w:right w:val="nil"/>
              <w:tl2br w:val="nil"/>
              <w:tr2bl w:val="nil"/>
            </w:tcBorders>
            <w:shd w:val="clear" w:color="FFFFFF" w:fill="DEEBF7"/>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Amortizācija</w:t>
            </w:r>
          </w:p>
        </w:tc>
        <w:tc>
          <w:tcPr>
            <w:tcW w:w="1965"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1965"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(26,379)</w:t>
            </w:r>
          </w:p>
        </w:tc>
        <w:tc>
          <w:tcPr>
            <w:tcW w:w="1965"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(26,379)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Izslēgto aktīvu amortizācija</w:t>
            </w:r>
          </w:p>
        </w:tc>
        <w:tc>
          <w:tcPr>
            <w:tcW w:w="1965"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1965"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70,667</w:t>
            </w:r>
          </w:p>
        </w:tc>
        <w:tc>
          <w:tcPr>
            <w:tcW w:w="1965"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70,667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96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96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96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Sākotnējā vērtība</w:t>
            </w:r>
          </w:p>
        </w:tc>
        <w:tc>
          <w:tcPr>
            <w:tcW w:w="1965"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50,590</w:t>
            </w:r>
          </w:p>
        </w:tc>
        <w:tc>
          <w:tcPr>
            <w:tcW w:w="1965"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65,800</w:t>
            </w:r>
          </w:p>
        </w:tc>
        <w:tc>
          <w:tcPr>
            <w:tcW w:w="1965"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116,390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Uzkrātā amortizācija</w:t>
            </w:r>
          </w:p>
        </w:tc>
        <w:tc>
          <w:tcPr>
            <w:tcW w:w="1965"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(50,590)</w:t>
            </w:r>
          </w:p>
        </w:tc>
        <w:tc>
          <w:tcPr>
            <w:tcW w:w="1965"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(51,248)</w:t>
            </w:r>
          </w:p>
        </w:tc>
        <w:tc>
          <w:tcPr>
            <w:tcW w:w="1965"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(101,838)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705"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2020. gada 31. decembrī</w:t>
            </w:r>
          </w:p>
        </w:tc>
        <w:tc>
          <w:tcPr>
            <w:tcW w:w="1965"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1965"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14,552</w:t>
            </w:r>
          </w:p>
        </w:tc>
        <w:tc>
          <w:tcPr>
            <w:tcW w:w="1965"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14,552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965"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965"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965"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2021</w:t>
            </w:r>
          </w:p>
        </w:tc>
        <w:tc>
          <w:tcPr>
            <w:tcW w:w="196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96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96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Iegāde</w:t>
            </w:r>
          </w:p>
        </w:tc>
        <w:tc>
          <w:tcPr>
            <w:tcW w:w="1965"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965"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965"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Izslēgšana</w:t>
            </w:r>
          </w:p>
        </w:tc>
        <w:tc>
          <w:tcPr>
            <w:tcW w:w="1965"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965"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965"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Pārklasificēšana</w:t>
            </w:r>
          </w:p>
        </w:tc>
        <w:tc>
          <w:tcPr>
            <w:tcW w:w="1965"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(11,920)</w:t>
            </w:r>
          </w:p>
        </w:tc>
        <w:tc>
          <w:tcPr>
            <w:tcW w:w="1965"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965"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(11,920)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965"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965"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965" w:type="dxa"/>
            <w:tcBorders>
              <w:top w:val="nil"/>
              <w:left w:val="nil"/>
              <w:bottom w:val="nil"/>
              <w:right w:val="nil"/>
              <w:tl2br w:val="nil"/>
              <w:tr2bl w:val="nil"/>
            </w:tcBorders>
            <w:shd w:val="clear" w:color="FFFFFF" w:fill="DEEBF7"/>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Amortizācija</w:t>
            </w:r>
          </w:p>
        </w:tc>
        <w:tc>
          <w:tcPr>
            <w:tcW w:w="1965"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965"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(14,552)</w:t>
            </w:r>
          </w:p>
        </w:tc>
        <w:tc>
          <w:tcPr>
            <w:tcW w:w="1965"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(14,552)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Pārklasifikācija</w:t>
            </w:r>
          </w:p>
        </w:tc>
        <w:tc>
          <w:tcPr>
            <w:tcW w:w="1965"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11,920</w:t>
            </w:r>
          </w:p>
        </w:tc>
        <w:tc>
          <w:tcPr>
            <w:tcW w:w="1965"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965"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11,920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965"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965"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965" w:type="dxa"/>
            <w:tcBorders>
              <w:top w:val="nil"/>
              <w:left w:val="nil"/>
              <w:bottom w:val="nil"/>
              <w:right w:val="nil"/>
              <w:tl2br w:val="nil"/>
              <w:tr2bl w:val="nil"/>
            </w:tcBorders>
            <w:shd w:val="clear" w:color="FFFFFF" w:fill="DEEBF7"/>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Sākotnējā vērtība</w:t>
            </w:r>
          </w:p>
        </w:tc>
        <w:tc>
          <w:tcPr>
            <w:tcW w:w="1965"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38,670</w:t>
            </w:r>
          </w:p>
        </w:tc>
        <w:tc>
          <w:tcPr>
            <w:tcW w:w="1965"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65,800</w:t>
            </w:r>
          </w:p>
        </w:tc>
        <w:tc>
          <w:tcPr>
            <w:tcW w:w="1965"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104,470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705"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Uzkrātā amortizācija</w:t>
            </w:r>
          </w:p>
        </w:tc>
        <w:tc>
          <w:tcPr>
            <w:tcW w:w="1965"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(38,670)</w:t>
            </w:r>
          </w:p>
        </w:tc>
        <w:tc>
          <w:tcPr>
            <w:tcW w:w="1965"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(65,800)</w:t>
            </w:r>
          </w:p>
        </w:tc>
        <w:tc>
          <w:tcPr>
            <w:tcW w:w="1965"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(104,470)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705"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2021. gada 31. decembrī</w:t>
            </w:r>
          </w:p>
        </w:tc>
        <w:tc>
          <w:tcPr>
            <w:tcW w:w="1965"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1965"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1965"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r>
    </w:tbl>
    <w:p/>
    <w:p w:rsidR="00522739" w:rsidRPr="00D64E02" w:rsidP="00BD4584" w14:textId="1B25D2B7">
      <w:pPr>
        <w:rPr>
          <w:rFonts w:ascii="Arial Narrow" w:eastAsia="Arial Narrow" w:hAnsi="Arial Narrow" w:cs="Arial Narrow"/>
          <w:sz w:val="16"/>
          <w:szCs w:val="16"/>
        </w:rPr>
      </w:pPr>
      <w:bookmarkStart w:id="1171" w:name="RG_MARKER_6626"/>
      <w:bookmarkStart w:id="1172" w:name="RG_MARKER_6440"/>
      <w:r w:rsidRPr="00D64E02">
        <w:rPr>
          <w:rFonts w:ascii="Arial Narrow" w:eastAsia="Arial Narrow" w:hAnsi="Arial Narrow" w:cs="Arial Narrow"/>
          <w:sz w:val="16"/>
          <w:szCs w:val="16"/>
        </w:rPr>
        <w:t xml:space="preserve">Amortizācijas izmaksas ir iekļautas </w:t>
      </w:r>
      <w:bookmarkEnd w:id="1172"/>
      <w:bookmarkEnd w:id="1171"/>
      <w:r w:rsidRPr="00D64E02">
        <w:rPr>
          <w:rFonts w:ascii="Arial Narrow" w:eastAsia="Arial Narrow" w:hAnsi="Arial Narrow" w:cs="Arial Narrow"/>
          <w:sz w:val="16"/>
          <w:szCs w:val="16"/>
        </w:rPr>
        <w:t>13</w:t>
      </w:r>
      <w:r w:rsidRPr="00D64E02">
        <w:rPr>
          <w:rFonts w:ascii="Arial Narrow" w:eastAsia="Arial Narrow" w:hAnsi="Arial Narrow" w:cs="Arial Narrow"/>
          <w:sz w:val="16"/>
          <w:szCs w:val="16"/>
        </w:rPr>
        <w:t>. piezīmē - “Administrācijas izmaksas”.</w:t>
      </w:r>
    </w:p>
    <w:tbl>
      <w:tblPr>
        <w:tblStyle w:val="CDMRange1"/>
        <w:tblW w:w="10005" w:type="dxa"/>
        <w:tblLayout w:type="fixed"/>
        <w:tblLook w:val="0600"/>
      </w:tblPr>
      <w:tblGrid>
        <w:gridCol w:w="2700"/>
        <w:gridCol w:w="870"/>
        <w:gridCol w:w="870"/>
        <w:gridCol w:w="870"/>
        <w:gridCol w:w="1065"/>
        <w:gridCol w:w="945"/>
        <w:gridCol w:w="945"/>
        <w:gridCol w:w="870"/>
        <w:gridCol w:w="870"/>
      </w:tblGrid>
      <w:tr>
        <w:tblPrEx>
          <w:tblW w:w="10005" w:type="dxa"/>
          <w:tblLayout w:type="fixed"/>
          <w:tblLook w:val="0600"/>
        </w:tblPrEx>
        <w:trPr>
          <w:trHeight w:hRule="exact" w:val="255"/>
        </w:trPr>
        <w:tc>
          <w:tcPr>
            <w:tcW w:w="10005" w:type="dxa"/>
            <w:gridSpan w:val="9"/>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pageBreakBefore/>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17. Nomas autoparks, pamatlīdzekļi un lietošanas tiesību aktīvi</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7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87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87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87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6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4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4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87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87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87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Nomas autoparks</w:t>
            </w:r>
          </w:p>
        </w:tc>
        <w:tc>
          <w:tcPr>
            <w:tcW w:w="87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Pamatlīdzekļi</w:t>
            </w:r>
          </w:p>
        </w:tc>
        <w:tc>
          <w:tcPr>
            <w:tcW w:w="87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Avansa maksājumi pamat- līdzekļu izveidošanai</w:t>
            </w:r>
          </w:p>
        </w:tc>
        <w:tc>
          <w:tcPr>
            <w:tcW w:w="1065"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Ieguldījumi nomātos pamatlīdzekļos</w:t>
            </w:r>
          </w:p>
        </w:tc>
        <w:tc>
          <w:tcPr>
            <w:tcW w:w="945"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Lietošanas tiesības, telpas</w:t>
            </w:r>
          </w:p>
        </w:tc>
        <w:tc>
          <w:tcPr>
            <w:tcW w:w="945"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Lietošanas tiesības, automašīnas</w:t>
            </w:r>
          </w:p>
        </w:tc>
        <w:tc>
          <w:tcPr>
            <w:tcW w:w="87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lietošanas tiesību aktīvi</w:t>
            </w:r>
          </w:p>
        </w:tc>
        <w:tc>
          <w:tcPr>
            <w:tcW w:w="87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87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87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87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1065"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945"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945"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87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87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87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87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87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1065"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945"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945"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87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87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87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87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87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1065"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945"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945"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87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c>
          <w:tcPr>
            <w:tcW w:w="87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Sākotnējā vērtība</w:t>
            </w:r>
          </w:p>
        </w:tc>
        <w:tc>
          <w:tcPr>
            <w:tcW w:w="87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15,041,415</w:t>
            </w:r>
          </w:p>
        </w:tc>
        <w:tc>
          <w:tcPr>
            <w:tcW w:w="87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421,057</w:t>
            </w:r>
          </w:p>
        </w:tc>
        <w:tc>
          <w:tcPr>
            <w:tcW w:w="87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37,584</w:t>
            </w:r>
          </w:p>
        </w:tc>
        <w:tc>
          <w:tcPr>
            <w:tcW w:w="1065"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18,386</w:t>
            </w:r>
          </w:p>
        </w:tc>
        <w:tc>
          <w:tcPr>
            <w:tcW w:w="945"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1,551,665</w:t>
            </w:r>
          </w:p>
        </w:tc>
        <w:tc>
          <w:tcPr>
            <w:tcW w:w="945"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13,664</w:t>
            </w:r>
          </w:p>
        </w:tc>
        <w:tc>
          <w:tcPr>
            <w:tcW w:w="870" w:type="dxa"/>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1,565,329</w:t>
            </w:r>
          </w:p>
        </w:tc>
        <w:tc>
          <w:tcPr>
            <w:tcW w:w="870" w:type="dxa"/>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17,083,771</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Uzkrātais nolietojums un vērtības samazinājums</w:t>
            </w:r>
          </w:p>
        </w:tc>
        <w:tc>
          <w:tcPr>
            <w:tcW w:w="87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(1,549,366)</w:t>
            </w:r>
          </w:p>
        </w:tc>
        <w:tc>
          <w:tcPr>
            <w:tcW w:w="87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(288,735)</w:t>
            </w:r>
          </w:p>
        </w:tc>
        <w:tc>
          <w:tcPr>
            <w:tcW w:w="87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65"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(11,781)</w:t>
            </w:r>
          </w:p>
        </w:tc>
        <w:tc>
          <w:tcPr>
            <w:tcW w:w="945"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(147,999)</w:t>
            </w:r>
          </w:p>
        </w:tc>
        <w:tc>
          <w:tcPr>
            <w:tcW w:w="945"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(9,936)</w:t>
            </w:r>
          </w:p>
        </w:tc>
        <w:tc>
          <w:tcPr>
            <w:tcW w:w="87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(157,935)</w:t>
            </w:r>
          </w:p>
        </w:tc>
        <w:tc>
          <w:tcPr>
            <w:tcW w:w="87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(2,007,817)</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700"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2020. gada 1.janvārī</w:t>
            </w:r>
          </w:p>
        </w:tc>
        <w:tc>
          <w:tcPr>
            <w:tcW w:w="870"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13,492,049</w:t>
            </w:r>
          </w:p>
        </w:tc>
        <w:tc>
          <w:tcPr>
            <w:tcW w:w="870"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132,322</w:t>
            </w:r>
          </w:p>
        </w:tc>
        <w:tc>
          <w:tcPr>
            <w:tcW w:w="870"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37,584</w:t>
            </w:r>
          </w:p>
        </w:tc>
        <w:tc>
          <w:tcPr>
            <w:tcW w:w="1065"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6,605</w:t>
            </w:r>
          </w:p>
        </w:tc>
        <w:tc>
          <w:tcPr>
            <w:tcW w:w="945"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1,403,666</w:t>
            </w:r>
          </w:p>
        </w:tc>
        <w:tc>
          <w:tcPr>
            <w:tcW w:w="945"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3,728</w:t>
            </w:r>
          </w:p>
        </w:tc>
        <w:tc>
          <w:tcPr>
            <w:tcW w:w="870"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1,407,394</w:t>
            </w:r>
          </w:p>
        </w:tc>
        <w:tc>
          <w:tcPr>
            <w:tcW w:w="870"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15,075,954</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7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87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87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87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65"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45"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45"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2020</w:t>
            </w:r>
          </w:p>
        </w:tc>
        <w:tc>
          <w:tcPr>
            <w:tcW w:w="87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6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4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4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6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4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4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Iegāde</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9,045,289</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12,762</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1,896</w:t>
            </w:r>
          </w:p>
        </w:tc>
        <w:tc>
          <w:tcPr>
            <w:tcW w:w="106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2,500</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38,534</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38,534</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9,100,981</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Pārnests uz citiem</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1,896</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(37,448)</w:t>
            </w:r>
          </w:p>
        </w:tc>
        <w:tc>
          <w:tcPr>
            <w:tcW w:w="106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35,552</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35,552</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Izslēgšana</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(6,505,249)</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(239,349)</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(2,032)</w:t>
            </w:r>
          </w:p>
        </w:tc>
        <w:tc>
          <w:tcPr>
            <w:tcW w:w="106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(1,603)</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(209,661)</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(13,664)</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(223,325)</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(6,971,558)</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Nolietojums</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(2,202,559)</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(60,795)</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6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(1,534)</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(190,909)</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(2,070)</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(192,979)</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(2,457,867)</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Izslēgto aktīvu nolietojums</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815,783</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236,325</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6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354</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103,074</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12,006</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115,080</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1,167,542</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Vērtības samazinājums</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(95,529)</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6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(95,529)</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65"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4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45"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Sākotnējā vērtība</w:t>
            </w:r>
          </w:p>
        </w:tc>
        <w:tc>
          <w:tcPr>
            <w:tcW w:w="870" w:type="dxa"/>
            <w:tcBorders>
              <w:top w:val="nil"/>
              <w:left w:val="nil"/>
              <w:bottom w:val="nil"/>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17,581,455</w:t>
            </w:r>
          </w:p>
        </w:tc>
        <w:tc>
          <w:tcPr>
            <w:tcW w:w="870" w:type="dxa"/>
            <w:tcBorders>
              <w:top w:val="nil"/>
              <w:left w:val="nil"/>
              <w:bottom w:val="nil"/>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196,366</w:t>
            </w:r>
          </w:p>
        </w:tc>
        <w:tc>
          <w:tcPr>
            <w:tcW w:w="870" w:type="dxa"/>
            <w:tcBorders>
              <w:top w:val="nil"/>
              <w:left w:val="nil"/>
              <w:bottom w:val="nil"/>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65" w:type="dxa"/>
            <w:tcBorders>
              <w:top w:val="nil"/>
              <w:left w:val="nil"/>
              <w:bottom w:val="nil"/>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19,283</w:t>
            </w:r>
          </w:p>
        </w:tc>
        <w:tc>
          <w:tcPr>
            <w:tcW w:w="945" w:type="dxa"/>
            <w:tcBorders>
              <w:top w:val="nil"/>
              <w:left w:val="nil"/>
              <w:bottom w:val="nil"/>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1,416,090</w:t>
            </w:r>
          </w:p>
        </w:tc>
        <w:tc>
          <w:tcPr>
            <w:tcW w:w="945" w:type="dxa"/>
            <w:tcBorders>
              <w:top w:val="nil"/>
              <w:left w:val="nil"/>
              <w:bottom w:val="nil"/>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1,416,090</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19,213,194</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Uzkrātais nolietojums un vērtības samazinājums</w:t>
            </w:r>
          </w:p>
        </w:tc>
        <w:tc>
          <w:tcPr>
            <w:tcW w:w="87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(3,031,671)</w:t>
            </w:r>
          </w:p>
        </w:tc>
        <w:tc>
          <w:tcPr>
            <w:tcW w:w="87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(113,205)</w:t>
            </w:r>
          </w:p>
        </w:tc>
        <w:tc>
          <w:tcPr>
            <w:tcW w:w="87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65"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(12,961)</w:t>
            </w:r>
          </w:p>
        </w:tc>
        <w:tc>
          <w:tcPr>
            <w:tcW w:w="945"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(235,834)</w:t>
            </w:r>
          </w:p>
        </w:tc>
        <w:tc>
          <w:tcPr>
            <w:tcW w:w="945"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87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(235,834)</w:t>
            </w:r>
          </w:p>
        </w:tc>
        <w:tc>
          <w:tcPr>
            <w:tcW w:w="87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(3,393,671)</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7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2020.gada 31.decembrī</w:t>
            </w:r>
          </w:p>
        </w:tc>
        <w:tc>
          <w:tcPr>
            <w:tcW w:w="87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14,549,784</w:t>
            </w:r>
          </w:p>
        </w:tc>
        <w:tc>
          <w:tcPr>
            <w:tcW w:w="87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83,161</w:t>
            </w:r>
          </w:p>
        </w:tc>
        <w:tc>
          <w:tcPr>
            <w:tcW w:w="87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1065"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6,322</w:t>
            </w:r>
          </w:p>
        </w:tc>
        <w:tc>
          <w:tcPr>
            <w:tcW w:w="945"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1,180,256</w:t>
            </w:r>
          </w:p>
        </w:tc>
        <w:tc>
          <w:tcPr>
            <w:tcW w:w="945"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87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1,180,256</w:t>
            </w:r>
          </w:p>
        </w:tc>
        <w:tc>
          <w:tcPr>
            <w:tcW w:w="87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15,819,523</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87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87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87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65"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45"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45"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2021</w:t>
            </w:r>
          </w:p>
        </w:tc>
        <w:tc>
          <w:tcPr>
            <w:tcW w:w="87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6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4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4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6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4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4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Iegāde</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3,534,554</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15,132</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6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666,363</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666,363</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4,216,049</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Pārnests uz citiem</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6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Izslēgšana</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(6,123,063)</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(255)</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6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(1,172,495)</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(1,172,495)</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(7,295,813)</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Nolietojums</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(2,300,100)</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(49,169)</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6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(2,518)</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(137,220)</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(137,220)</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(2,489,007)</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Izslēgto aktīvu nolietojums</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1,176,971</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2,056</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6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170,601</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170,601</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1,349,628</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Vērtības samazinājums</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(138,405)</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870"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6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45" w:type="dxa"/>
            <w:tcBorders>
              <w:top w:val="nil"/>
              <w:left w:val="nil"/>
              <w:bottom w:val="nil"/>
              <w:right w:val="nil"/>
              <w:tl2br w:val="nil"/>
              <w:tr2bl w:val="nil"/>
            </w:tcBorders>
            <w:shd w:val="clear" w:color="FFFFFF" w:fill="E2F0D9"/>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(138,405)</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65"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4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45"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87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Sākotnējā vērtība</w:t>
            </w:r>
          </w:p>
        </w:tc>
        <w:tc>
          <w:tcPr>
            <w:tcW w:w="870" w:type="dxa"/>
            <w:tcBorders>
              <w:top w:val="nil"/>
              <w:left w:val="nil"/>
              <w:bottom w:val="nil"/>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14,992,946</w:t>
            </w:r>
          </w:p>
        </w:tc>
        <w:tc>
          <w:tcPr>
            <w:tcW w:w="870" w:type="dxa"/>
            <w:tcBorders>
              <w:top w:val="nil"/>
              <w:left w:val="nil"/>
              <w:bottom w:val="nil"/>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211,243</w:t>
            </w:r>
          </w:p>
        </w:tc>
        <w:tc>
          <w:tcPr>
            <w:tcW w:w="870" w:type="dxa"/>
            <w:tcBorders>
              <w:top w:val="nil"/>
              <w:left w:val="nil"/>
              <w:bottom w:val="nil"/>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65" w:type="dxa"/>
            <w:tcBorders>
              <w:top w:val="nil"/>
              <w:left w:val="nil"/>
              <w:bottom w:val="nil"/>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19,283</w:t>
            </w:r>
          </w:p>
        </w:tc>
        <w:tc>
          <w:tcPr>
            <w:tcW w:w="945" w:type="dxa"/>
            <w:tcBorders>
              <w:top w:val="nil"/>
              <w:left w:val="nil"/>
              <w:bottom w:val="nil"/>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909,958</w:t>
            </w:r>
          </w:p>
        </w:tc>
        <w:tc>
          <w:tcPr>
            <w:tcW w:w="945" w:type="dxa"/>
            <w:tcBorders>
              <w:top w:val="nil"/>
              <w:left w:val="nil"/>
              <w:bottom w:val="nil"/>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909,958</w:t>
            </w:r>
          </w:p>
        </w:tc>
        <w:tc>
          <w:tcPr>
            <w:tcW w:w="870" w:type="dxa"/>
            <w:tcBorders>
              <w:top w:val="nil"/>
              <w:left w:val="nil"/>
              <w:bottom w:val="nil"/>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16,133,430</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27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Uzkrātais nolietojums un vērtības samazinājums</w:t>
            </w:r>
          </w:p>
        </w:tc>
        <w:tc>
          <w:tcPr>
            <w:tcW w:w="87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(4,293,205)</w:t>
            </w:r>
          </w:p>
        </w:tc>
        <w:tc>
          <w:tcPr>
            <w:tcW w:w="87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(160,318)</w:t>
            </w:r>
          </w:p>
        </w:tc>
        <w:tc>
          <w:tcPr>
            <w:tcW w:w="87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65"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(15,479)</w:t>
            </w:r>
          </w:p>
        </w:tc>
        <w:tc>
          <w:tcPr>
            <w:tcW w:w="945"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(202,453)</w:t>
            </w:r>
          </w:p>
        </w:tc>
        <w:tc>
          <w:tcPr>
            <w:tcW w:w="945"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87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(202,453)</w:t>
            </w:r>
          </w:p>
        </w:tc>
        <w:tc>
          <w:tcPr>
            <w:tcW w:w="87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(4,671,455)</w:t>
            </w:r>
          </w:p>
        </w:tc>
      </w:tr>
      <w:tr>
        <w:tblPrEx>
          <w:tblW w:w="10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27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2021.gada 31.decembrī</w:t>
            </w:r>
          </w:p>
        </w:tc>
        <w:tc>
          <w:tcPr>
            <w:tcW w:w="87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10,699,741</w:t>
            </w:r>
          </w:p>
        </w:tc>
        <w:tc>
          <w:tcPr>
            <w:tcW w:w="87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50,925</w:t>
            </w:r>
          </w:p>
        </w:tc>
        <w:tc>
          <w:tcPr>
            <w:tcW w:w="87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1065"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3,804</w:t>
            </w:r>
          </w:p>
        </w:tc>
        <w:tc>
          <w:tcPr>
            <w:tcW w:w="945"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707,505</w:t>
            </w:r>
          </w:p>
        </w:tc>
        <w:tc>
          <w:tcPr>
            <w:tcW w:w="945"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87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707,505</w:t>
            </w:r>
          </w:p>
        </w:tc>
        <w:tc>
          <w:tcPr>
            <w:tcW w:w="87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11,461,975</w:t>
            </w:r>
          </w:p>
        </w:tc>
      </w:tr>
    </w:tbl>
    <w:p/>
    <w:p w:rsidR="00EE3381" w:rsidRPr="00532B48" w:rsidP="00F943A0" w14:paraId="176D74DD" w14:textId="2634D0E5">
      <w:pPr>
        <w:spacing w:line="360" w:lineRule="auto"/>
        <w:jc w:val="both"/>
        <w:rPr>
          <w:rFonts w:ascii="Arial Narrow" w:eastAsia="Arial Narrow" w:hAnsi="Arial Narrow" w:cs="Arial Narrow"/>
          <w:sz w:val="16"/>
          <w:szCs w:val="16"/>
          <w:lang w:val="lv-LV"/>
        </w:rPr>
      </w:pPr>
      <w:bookmarkStart w:id="1173" w:name="RG_MARKER_6628"/>
      <w:bookmarkStart w:id="1174" w:name="RG_MARKER_6538"/>
      <w:r w:rsidRPr="00532B48">
        <w:rPr>
          <w:rFonts w:ascii="Arial Narrow" w:eastAsia="Arial Narrow" w:hAnsi="Arial Narrow" w:cs="Arial Narrow"/>
          <w:sz w:val="16"/>
          <w:szCs w:val="16"/>
          <w:lang w:val="lv-LV"/>
        </w:rPr>
        <w:t>Nefinanšu aktīvu (nomas autoparka) atlikušās vērtības nomas termiņa beigās novērtējums</w:t>
      </w:r>
      <w:bookmarkEnd w:id="1174"/>
      <w:bookmarkEnd w:id="1173"/>
    </w:p>
    <w:p w:rsidR="00532B48" w:rsidRPr="00532B48" w:rsidP="00F943A0" w14:paraId="5D8DC0E4" w14:textId="6F9EC6C0">
      <w:pPr>
        <w:spacing w:line="360" w:lineRule="auto"/>
        <w:jc w:val="both"/>
        <w:rPr>
          <w:rFonts w:ascii="Arial Narrow" w:eastAsia="Arial Narrow" w:hAnsi="Arial Narrow" w:cs="Arial Narrow"/>
          <w:sz w:val="16"/>
          <w:szCs w:val="16"/>
          <w:lang w:val="lv-LV"/>
        </w:rPr>
      </w:pPr>
      <w:r w:rsidRPr="00532B48">
        <w:rPr>
          <w:rFonts w:ascii="Arial Narrow" w:eastAsia="Arial Narrow" w:hAnsi="Arial Narrow" w:cs="Arial Narrow"/>
          <w:sz w:val="16"/>
          <w:szCs w:val="16"/>
          <w:lang w:val="lv-LV"/>
        </w:rPr>
        <w:t xml:space="preserve">2021. gada 31. decembrī vadība novērtēja nomas autoparka atlikušo vērtību un tās rezultātā tika atzīti uzkrājumi vērtības samazinājumam EUR </w:t>
      </w:r>
      <w:r w:rsidRPr="00936D45" w:rsidR="00936D45">
        <w:rPr>
          <w:rFonts w:ascii="Arial Narrow" w:eastAsia="Arial Narrow" w:hAnsi="Arial Narrow" w:cs="Arial Narrow"/>
          <w:sz w:val="16"/>
          <w:szCs w:val="16"/>
          <w:lang w:val="lv-LV"/>
        </w:rPr>
        <w:t xml:space="preserve">138 405 </w:t>
      </w:r>
      <w:r w:rsidRPr="00532B48">
        <w:rPr>
          <w:rFonts w:ascii="Arial Narrow" w:eastAsia="Arial Narrow" w:hAnsi="Arial Narrow" w:cs="Arial Narrow"/>
          <w:sz w:val="16"/>
          <w:szCs w:val="16"/>
          <w:lang w:val="lv-LV"/>
        </w:rPr>
        <w:t xml:space="preserve">(2020. gadā: EUR  95 529) apmērā. </w:t>
      </w:r>
    </w:p>
    <w:p w:rsidR="00EE3381" w:rsidRPr="00532B48" w:rsidP="00F943A0" w14:paraId="08C4DBDE" w14:textId="2F54572F">
      <w:pPr>
        <w:spacing w:line="360" w:lineRule="auto"/>
        <w:jc w:val="both"/>
        <w:rPr>
          <w:rFonts w:ascii="Arial Narrow" w:eastAsia="Arial Narrow" w:hAnsi="Arial Narrow" w:cs="Arial Narrow"/>
          <w:sz w:val="16"/>
          <w:szCs w:val="16"/>
          <w:lang w:val="lv-LV"/>
        </w:rPr>
      </w:pPr>
      <w:r w:rsidRPr="00532B48">
        <w:rPr>
          <w:rFonts w:ascii="Arial Narrow" w:eastAsia="Arial Narrow" w:hAnsi="Arial Narrow" w:cs="Arial Narrow"/>
          <w:sz w:val="16"/>
          <w:szCs w:val="16"/>
          <w:lang w:val="lv-LV"/>
        </w:rPr>
        <w:t>Lai novērtētu, kādas izmaiņas galvenajos pieņēmumos varētu ietekmēt to, v</w:t>
      </w:r>
      <w:r w:rsidRPr="00532B48">
        <w:rPr>
          <w:rFonts w:ascii="Arial Narrow" w:eastAsia="Arial Narrow" w:hAnsi="Arial Narrow" w:cs="Arial Narrow"/>
          <w:sz w:val="16"/>
          <w:szCs w:val="16"/>
          <w:lang w:val="lv-LV"/>
        </w:rPr>
        <w:t>ai nomas autoparka aktīvu uzskaites vērtība pārsniedz to atgūstamo vērtību, tika veikta jūtīguma analīze. Ja vidēji svērtā kapitāla izmaksu likme (WACC) pieaugtu par 2,0% gadā, bet visi pārējie pieņēmumi, ieskaitot nomas ienākumus, saglabātos nemainīgi, ak</w:t>
      </w:r>
      <w:r w:rsidRPr="00532B48">
        <w:rPr>
          <w:rFonts w:ascii="Arial Narrow" w:eastAsia="Arial Narrow" w:hAnsi="Arial Narrow" w:cs="Arial Narrow"/>
          <w:sz w:val="16"/>
          <w:szCs w:val="16"/>
          <w:lang w:val="lv-LV"/>
        </w:rPr>
        <w:t xml:space="preserve">tīvu atgūstamā vērtība būtu EUR </w:t>
      </w:r>
      <w:r w:rsidRPr="00A00C07">
        <w:rPr>
          <w:rFonts w:ascii="Arial Narrow" w:eastAsia="Arial Narrow" w:hAnsi="Arial Narrow" w:cs="Arial Narrow"/>
          <w:sz w:val="16"/>
          <w:szCs w:val="16"/>
          <w:lang w:val="lv-LV"/>
        </w:rPr>
        <w:t>3 946 373</w:t>
      </w:r>
      <w:r w:rsidR="00936D45">
        <w:rPr>
          <w:rFonts w:ascii="Arial Narrow" w:eastAsia="Arial Narrow" w:hAnsi="Arial Narrow" w:cs="Arial Narrow"/>
          <w:sz w:val="16"/>
          <w:szCs w:val="16"/>
          <w:lang w:val="lv-LV"/>
        </w:rPr>
        <w:t xml:space="preserve"> </w:t>
      </w:r>
      <w:r w:rsidRPr="00532B48">
        <w:rPr>
          <w:rFonts w:ascii="Arial Narrow" w:eastAsia="Arial Narrow" w:hAnsi="Arial Narrow" w:cs="Arial Narrow"/>
          <w:sz w:val="16"/>
          <w:szCs w:val="16"/>
          <w:lang w:val="lv-LV"/>
        </w:rPr>
        <w:t>tūkstoši un būtu jāatzīst papildu vērtības samazinājums EUR</w:t>
      </w:r>
      <w:r w:rsidR="00936D45">
        <w:rPr>
          <w:rFonts w:ascii="Arial Narrow" w:eastAsia="Arial Narrow" w:hAnsi="Arial Narrow" w:cs="Arial Narrow"/>
          <w:sz w:val="16"/>
          <w:szCs w:val="16"/>
          <w:lang w:val="lv-LV"/>
        </w:rPr>
        <w:t xml:space="preserve"> </w:t>
      </w:r>
      <w:r w:rsidRPr="00936D45" w:rsidR="00936D45">
        <w:rPr>
          <w:rFonts w:ascii="Arial Narrow" w:eastAsia="Arial Narrow" w:hAnsi="Arial Narrow" w:cs="Arial Narrow"/>
          <w:sz w:val="16"/>
          <w:szCs w:val="16"/>
          <w:lang w:val="lv-LV"/>
        </w:rPr>
        <w:t>51</w:t>
      </w:r>
      <w:r w:rsidR="00936D45">
        <w:rPr>
          <w:rFonts w:ascii="Arial Narrow" w:eastAsia="Arial Narrow" w:hAnsi="Arial Narrow" w:cs="Arial Narrow"/>
          <w:sz w:val="16"/>
          <w:szCs w:val="16"/>
          <w:lang w:val="lv-LV"/>
        </w:rPr>
        <w:t> </w:t>
      </w:r>
      <w:r w:rsidRPr="00936D45" w:rsidR="00936D45">
        <w:rPr>
          <w:rFonts w:ascii="Arial Narrow" w:eastAsia="Arial Narrow" w:hAnsi="Arial Narrow" w:cs="Arial Narrow"/>
          <w:sz w:val="16"/>
          <w:szCs w:val="16"/>
          <w:lang w:val="lv-LV"/>
        </w:rPr>
        <w:t>638</w:t>
      </w:r>
      <w:r w:rsidR="00936D45">
        <w:rPr>
          <w:rFonts w:ascii="Arial Narrow" w:eastAsia="Arial Narrow" w:hAnsi="Arial Narrow" w:cs="Arial Narrow"/>
          <w:sz w:val="16"/>
          <w:szCs w:val="16"/>
          <w:lang w:val="lv-LV"/>
        </w:rPr>
        <w:t xml:space="preserve"> </w:t>
      </w:r>
      <w:r w:rsidRPr="00532B48">
        <w:rPr>
          <w:rFonts w:ascii="Arial Narrow" w:eastAsia="Arial Narrow" w:hAnsi="Arial Narrow" w:cs="Arial Narrow"/>
          <w:sz w:val="16"/>
          <w:szCs w:val="16"/>
          <w:lang w:val="lv-LV"/>
        </w:rPr>
        <w:t xml:space="preserve">tūkstošu apmērā. </w:t>
      </w:r>
    </w:p>
    <w:p w:rsidR="00522739" w:rsidRPr="00532B48" w:rsidP="00F943A0" w14:textId="0A50ADE9">
      <w:pPr>
        <w:spacing w:line="360" w:lineRule="auto"/>
        <w:jc w:val="both"/>
        <w:rPr>
          <w:rFonts w:ascii="Arial Narrow" w:eastAsia="Arial Narrow" w:hAnsi="Arial Narrow" w:cs="Arial Narrow"/>
          <w:sz w:val="16"/>
          <w:szCs w:val="16"/>
          <w:lang w:val="lv-LV"/>
        </w:rPr>
      </w:pPr>
      <w:r w:rsidRPr="00532B48">
        <w:rPr>
          <w:rFonts w:ascii="Arial Narrow" w:eastAsia="Arial Narrow" w:hAnsi="Arial Narrow" w:cs="Arial Narrow"/>
          <w:sz w:val="16"/>
          <w:szCs w:val="16"/>
          <w:lang w:val="lv-LV"/>
        </w:rPr>
        <w:t>Vērtības samazinājuma pārbaudes ir detalizēti aprakstītas sadaļā “Nefinanšu aktīvu vērtības samazināšanās (nomas autoparks)” (</w:t>
      </w:r>
      <w:r>
        <w:rPr>
          <w:rFonts w:ascii="Arial Narrow" w:eastAsia="Arial Narrow" w:hAnsi="Arial Narrow" w:cs="Arial Narrow"/>
          <w:sz w:val="16"/>
          <w:szCs w:val="16"/>
          <w:lang w:val="lv-LV"/>
        </w:rPr>
        <w:t>8</w:t>
      </w:r>
      <w:r w:rsidR="00936D45">
        <w:rPr>
          <w:rFonts w:ascii="Arial Narrow" w:eastAsia="Arial Narrow" w:hAnsi="Arial Narrow" w:cs="Arial Narrow"/>
          <w:sz w:val="16"/>
          <w:szCs w:val="16"/>
          <w:lang w:val="lv-LV"/>
        </w:rPr>
        <w:t xml:space="preserve">. </w:t>
      </w:r>
      <w:r w:rsidRPr="00532B48">
        <w:rPr>
          <w:rFonts w:ascii="Arial Narrow" w:eastAsia="Arial Narrow" w:hAnsi="Arial Narrow" w:cs="Arial Narrow"/>
          <w:sz w:val="16"/>
          <w:szCs w:val="16"/>
          <w:lang w:val="lv-LV"/>
        </w:rPr>
        <w:t>piezīme).</w:t>
      </w:r>
    </w:p>
    <w:p w:rsidR="00722DC9" w:rsidRPr="00472BBE" w:rsidP="00472BBE" w14:paraId="779483F6" w14:textId="0F94C7D5">
      <w:pPr>
        <w:pageBreakBefore/>
        <w:spacing w:line="360" w:lineRule="auto"/>
        <w:jc w:val="both"/>
        <w:rPr>
          <w:rFonts w:ascii="Arial Narrow" w:eastAsia="Arial Narrow" w:hAnsi="Arial Narrow" w:cs="Arial Narrow"/>
          <w:b/>
          <w:bCs/>
          <w:sz w:val="16"/>
          <w:szCs w:val="16"/>
        </w:rPr>
      </w:pPr>
      <w:bookmarkStart w:id="1175" w:name="RG_MARKER_6630"/>
      <w:bookmarkStart w:id="1176" w:name="RG_MARKER_6441"/>
      <w:r>
        <w:rPr>
          <w:rFonts w:ascii="Arial Narrow" w:eastAsia="Arial Narrow" w:hAnsi="Arial Narrow" w:cs="Arial Narrow"/>
          <w:b/>
          <w:bCs/>
          <w:sz w:val="16"/>
          <w:szCs w:val="16"/>
        </w:rPr>
        <w:t>18</w:t>
      </w:r>
      <w:bookmarkEnd w:id="1176"/>
      <w:bookmarkEnd w:id="1175"/>
      <w:r w:rsidRPr="00472BBE">
        <w:rPr>
          <w:rFonts w:ascii="Arial Narrow" w:eastAsia="Arial Narrow" w:hAnsi="Arial Narrow" w:cs="Arial Narrow"/>
          <w:b/>
          <w:bCs/>
          <w:sz w:val="16"/>
          <w:szCs w:val="16"/>
        </w:rPr>
        <w:t>. Lietošanas tiesību aktīvi un nomas saistības</w:t>
      </w:r>
    </w:p>
    <w:p w:rsidR="00522739" w:rsidRPr="00472BBE" w:rsidP="00472BBE" w14:textId="0444AD7B">
      <w:pPr>
        <w:spacing w:line="360" w:lineRule="auto"/>
        <w:jc w:val="both"/>
        <w:rPr>
          <w:rFonts w:ascii="Arial Narrow" w:eastAsia="Arial Narrow" w:hAnsi="Arial Narrow" w:cs="Arial Narrow"/>
          <w:sz w:val="16"/>
          <w:szCs w:val="16"/>
        </w:rPr>
      </w:pPr>
      <w:r w:rsidRPr="00472BBE">
        <w:rPr>
          <w:rFonts w:ascii="Arial Narrow" w:eastAsia="Arial Narrow" w:hAnsi="Arial Narrow" w:cs="Arial Narrow"/>
          <w:sz w:val="16"/>
          <w:szCs w:val="16"/>
        </w:rPr>
        <w:t>Lietošanas tiesību aktīvi un citas saistības par tiesībām lietot aktīvus konsolidētajā finanšu stāvokļa pārskatā un peļņas vai zaudējumu un apvienoto ienākumu pārskatā ir uzrādītas šādi:</w:t>
      </w:r>
    </w:p>
    <w:tbl>
      <w:tblPr>
        <w:tblStyle w:val="CDMRange2"/>
        <w:tblW w:w="9660" w:type="dxa"/>
        <w:tblLayout w:type="fixed"/>
        <w:tblLook w:val="0600"/>
      </w:tblPr>
      <w:tblGrid>
        <w:gridCol w:w="6000"/>
        <w:gridCol w:w="915"/>
        <w:gridCol w:w="915"/>
        <w:gridCol w:w="915"/>
        <w:gridCol w:w="915"/>
      </w:tblGrid>
      <w:tr>
        <w:tblPrEx>
          <w:tblW w:w="966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83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31.12.2021.</w:t>
            </w:r>
          </w:p>
        </w:tc>
        <w:tc>
          <w:tcPr>
            <w:tcW w:w="183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31.12.2020.</w:t>
            </w: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AKTĪVI</w:t>
            </w:r>
          </w:p>
        </w:tc>
        <w:tc>
          <w:tcPr>
            <w:tcW w:w="183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183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Ilgtermiņa ieguldījumi</w:t>
            </w:r>
          </w:p>
        </w:tc>
        <w:tc>
          <w:tcPr>
            <w:tcW w:w="1830" w:type="dxa"/>
            <w:gridSpan w:val="2"/>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830" w:type="dxa"/>
            <w:gridSpan w:val="2"/>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Lietošanas tiesību aktīvi - telpas</w:t>
            </w:r>
          </w:p>
        </w:tc>
        <w:tc>
          <w:tcPr>
            <w:tcW w:w="183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707,505</w:t>
            </w:r>
          </w:p>
        </w:tc>
        <w:tc>
          <w:tcPr>
            <w:tcW w:w="183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1,180,256</w:t>
            </w: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30" w:type="dxa"/>
            <w:gridSpan w:val="2"/>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707,505</w:t>
            </w:r>
          </w:p>
        </w:tc>
        <w:tc>
          <w:tcPr>
            <w:tcW w:w="1830" w:type="dxa"/>
            <w:gridSpan w:val="2"/>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1,180,256</w:t>
            </w: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both"/>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PASĪVS</w:t>
            </w:r>
          </w:p>
        </w:tc>
        <w:tc>
          <w:tcPr>
            <w:tcW w:w="91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both"/>
              <w:rPr>
                <w:rFonts w:ascii="Arial Narrow" w:eastAsia="Arial Narrow" w:hAnsi="Arial Narrow" w:cs="Arial Narrow"/>
                <w:b w:val="0"/>
                <w:i w:val="0"/>
                <w:strike w:val="0"/>
                <w:color w:val="000000"/>
                <w:sz w:val="16"/>
                <w:u w:val="none"/>
                <w:vertAlign w:val="baseline"/>
              </w:rPr>
            </w:pPr>
          </w:p>
        </w:tc>
        <w:tc>
          <w:tcPr>
            <w:tcW w:w="91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both"/>
              <w:rPr>
                <w:rFonts w:ascii="Arial Narrow" w:eastAsia="Arial Narrow" w:hAnsi="Arial Narrow" w:cs="Arial Narrow"/>
                <w:b w:val="0"/>
                <w:i w:val="0"/>
                <w:strike w:val="0"/>
                <w:color w:val="000000"/>
                <w:sz w:val="16"/>
                <w:u w:val="none"/>
                <w:vertAlign w:val="baseline"/>
              </w:rPr>
            </w:pPr>
          </w:p>
        </w:tc>
        <w:tc>
          <w:tcPr>
            <w:tcW w:w="91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both"/>
              <w:rPr>
                <w:rFonts w:ascii="Arial Narrow" w:eastAsia="Arial Narrow" w:hAnsi="Arial Narrow" w:cs="Arial Narrow"/>
                <w:b w:val="0"/>
                <w:i w:val="0"/>
                <w:strike w:val="0"/>
                <w:color w:val="000000"/>
                <w:sz w:val="16"/>
                <w:u w:val="none"/>
                <w:vertAlign w:val="baseline"/>
              </w:rPr>
            </w:pPr>
          </w:p>
        </w:tc>
        <w:tc>
          <w:tcPr>
            <w:tcW w:w="91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both"/>
              <w:rPr>
                <w:rFonts w:ascii="Arial Narrow" w:eastAsia="Arial Narrow" w:hAnsi="Arial Narrow" w:cs="Arial Narrow"/>
                <w:b w:val="0"/>
                <w:i w:val="0"/>
                <w:strike w:val="0"/>
                <w:color w:val="000000"/>
                <w:sz w:val="16"/>
                <w:u w:val="none"/>
                <w:vertAlign w:val="baseline"/>
              </w:rPr>
            </w:pP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Ilgtermiņa kreditori</w:t>
            </w:r>
          </w:p>
        </w:tc>
        <w:tc>
          <w:tcPr>
            <w:tcW w:w="1830" w:type="dxa"/>
            <w:gridSpan w:val="2"/>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830" w:type="dxa"/>
            <w:gridSpan w:val="2"/>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Nomas saistības par lietošanas tiesību aktīviem</w:t>
            </w:r>
          </w:p>
        </w:tc>
        <w:tc>
          <w:tcPr>
            <w:tcW w:w="183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590,475</w:t>
            </w:r>
          </w:p>
        </w:tc>
        <w:tc>
          <w:tcPr>
            <w:tcW w:w="183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986,860</w:t>
            </w: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Īstermiņa kreditori</w:t>
            </w:r>
          </w:p>
        </w:tc>
        <w:tc>
          <w:tcPr>
            <w:tcW w:w="1830" w:type="dxa"/>
            <w:gridSpan w:val="2"/>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830" w:type="dxa"/>
            <w:gridSpan w:val="2"/>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Nomas saistības par lietošanas tiesību aktīviem</w:t>
            </w:r>
          </w:p>
        </w:tc>
        <w:tc>
          <w:tcPr>
            <w:tcW w:w="1830" w:type="dxa"/>
            <w:gridSpan w:val="2"/>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128,051</w:t>
            </w:r>
          </w:p>
        </w:tc>
        <w:tc>
          <w:tcPr>
            <w:tcW w:w="1830" w:type="dxa"/>
            <w:gridSpan w:val="2"/>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151,844</w:t>
            </w: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30" w:type="dxa"/>
            <w:gridSpan w:val="2"/>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718,526</w:t>
            </w:r>
          </w:p>
        </w:tc>
        <w:tc>
          <w:tcPr>
            <w:tcW w:w="1830" w:type="dxa"/>
            <w:gridSpan w:val="2"/>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1,138,704</w:t>
            </w: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830" w:type="dxa"/>
            <w:gridSpan w:val="2"/>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830" w:type="dxa"/>
            <w:gridSpan w:val="2"/>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1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1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1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1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val="0"/>
            <w:tcMar>
              <w:left w:w="0" w:type="dxa"/>
              <w:right w:w="0" w:type="dxa"/>
            </w:tcMar>
            <w:textDirection w:val="lrTb"/>
            <w:tcFitText w:val="0"/>
            <w:vAlign w:val="top"/>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1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15"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2021</w:t>
            </w:r>
          </w:p>
        </w:tc>
        <w:tc>
          <w:tcPr>
            <w:tcW w:w="91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15" w:type="dxa"/>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2020</w:t>
            </w: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Apvienoto ienākumu pārskatā uzrādītās nomas</w:t>
            </w:r>
          </w:p>
        </w:tc>
        <w:tc>
          <w:tcPr>
            <w:tcW w:w="915"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15"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15"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15"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Administrācijas izdevumi</w:t>
            </w:r>
          </w:p>
        </w:tc>
        <w:tc>
          <w:tcPr>
            <w:tcW w:w="91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1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1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15" w:type="dxa"/>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Izdevumi, kas saistīti ar mazvērtīgu aktīvu nomu un īstermiņa nomām</w:t>
            </w:r>
          </w:p>
        </w:tc>
        <w:tc>
          <w:tcPr>
            <w:tcW w:w="183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(150,790)</w:t>
            </w:r>
          </w:p>
        </w:tc>
        <w:tc>
          <w:tcPr>
            <w:tcW w:w="183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(66,269)</w:t>
            </w: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Telpu lietošanas tiesību aktīva nolietojums </w:t>
            </w:r>
            <w:r>
              <w:rPr>
                <w:rFonts w:ascii="Arial Narrow" w:eastAsia="Arial Narrow" w:hAnsi="Arial Narrow" w:cs="Arial Narrow"/>
                <w:b w:val="0"/>
                <w:i w:val="0"/>
                <w:strike w:val="0"/>
                <w:color w:val="000000"/>
                <w:sz w:val="16"/>
                <w:u w:val="none"/>
                <w:vertAlign w:val="baseline"/>
              </w:rPr>
              <w:t>(17. piezīme)</w:t>
            </w:r>
          </w:p>
        </w:tc>
        <w:tc>
          <w:tcPr>
            <w:tcW w:w="183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(137,220)</w:t>
            </w:r>
          </w:p>
        </w:tc>
        <w:tc>
          <w:tcPr>
            <w:tcW w:w="183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(190,909)</w:t>
            </w: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Automašīnu lietošanas tiesību aktīva nolietojums </w:t>
            </w:r>
            <w:r>
              <w:rPr>
                <w:rFonts w:ascii="Arial Narrow" w:eastAsia="Arial Narrow" w:hAnsi="Arial Narrow" w:cs="Arial Narrow"/>
                <w:b w:val="0"/>
                <w:i w:val="0"/>
                <w:strike w:val="0"/>
                <w:color w:val="000000"/>
                <w:sz w:val="16"/>
                <w:u w:val="none"/>
                <w:vertAlign w:val="baseline"/>
              </w:rPr>
              <w:t>(17. piezīme)</w:t>
            </w:r>
          </w:p>
        </w:tc>
        <w:tc>
          <w:tcPr>
            <w:tcW w:w="183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83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(2,070)</w:t>
            </w: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Pārējie ienākumi</w:t>
            </w:r>
          </w:p>
        </w:tc>
        <w:tc>
          <w:tcPr>
            <w:tcW w:w="91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15"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15"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15"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Pārdošanas (izdevumi)/ienākumi no diskonta piemērošanas lietošanas tiesību aktīviem </w:t>
            </w:r>
            <w:r>
              <w:rPr>
                <w:rFonts w:ascii="Arial Narrow" w:eastAsia="Arial Narrow" w:hAnsi="Arial Narrow" w:cs="Arial Narrow"/>
                <w:b w:val="0"/>
                <w:i w:val="0"/>
                <w:strike w:val="0"/>
                <w:color w:val="000000"/>
                <w:sz w:val="16"/>
                <w:u w:val="none"/>
                <w:vertAlign w:val="baseline"/>
              </w:rPr>
              <w:t>(14. piezīme)</w:t>
            </w:r>
          </w:p>
        </w:tc>
        <w:tc>
          <w:tcPr>
            <w:tcW w:w="183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83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20,575</w:t>
            </w: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Pārdošanas (izdevumi)/ienākumi no  lietošanas tiesību aktīviem atcelšanas </w:t>
            </w:r>
          </w:p>
        </w:tc>
        <w:tc>
          <w:tcPr>
            <w:tcW w:w="915"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15"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(42,155)</w:t>
            </w:r>
          </w:p>
        </w:tc>
        <w:tc>
          <w:tcPr>
            <w:tcW w:w="915"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15"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Neto finanšu izdevumi</w:t>
            </w:r>
          </w:p>
        </w:tc>
        <w:tc>
          <w:tcPr>
            <w:tcW w:w="915"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15"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15"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15"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Procentu izdevumi par telpu lietošanas tiesībām</w:t>
            </w:r>
          </w:p>
        </w:tc>
        <w:tc>
          <w:tcPr>
            <w:tcW w:w="183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(23,988)</w:t>
            </w:r>
          </w:p>
        </w:tc>
        <w:tc>
          <w:tcPr>
            <w:tcW w:w="1830" w:type="dxa"/>
            <w:gridSpan w:val="2"/>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(34,488)</w:t>
            </w: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Procentu izdevumi par automašīnu lietošanas tiesībām</w:t>
            </w:r>
          </w:p>
        </w:tc>
        <w:tc>
          <w:tcPr>
            <w:tcW w:w="1830" w:type="dxa"/>
            <w:gridSpan w:val="2"/>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830" w:type="dxa"/>
            <w:gridSpan w:val="2"/>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w:t>
            </w:r>
          </w:p>
        </w:tc>
      </w:tr>
      <w:tr>
        <w:tblPrEx>
          <w:tblW w:w="9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nauda aizplūde nomas darījumu rezultātā</w:t>
            </w:r>
          </w:p>
        </w:tc>
        <w:tc>
          <w:tcPr>
            <w:tcW w:w="1830" w:type="dxa"/>
            <w:gridSpan w:val="2"/>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(354,153)</w:t>
            </w:r>
          </w:p>
        </w:tc>
        <w:tc>
          <w:tcPr>
            <w:tcW w:w="1830" w:type="dxa"/>
            <w:gridSpan w:val="2"/>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(273,193)</w:t>
            </w:r>
          </w:p>
        </w:tc>
      </w:tr>
    </w:tbl>
    <w:p/>
    <w:p w:rsidR="00EA471F" w:rsidP="001C5198" w14:paraId="73DFFC62" w14:textId="29DAF603">
      <w:pPr>
        <w:spacing w:line="360" w:lineRule="auto"/>
        <w:jc w:val="both"/>
        <w:rPr>
          <w:rFonts w:ascii="Arial Narrow" w:eastAsia="Arial Narrow" w:hAnsi="Arial Narrow" w:cs="Arial Narrow"/>
          <w:sz w:val="16"/>
          <w:szCs w:val="16"/>
        </w:rPr>
      </w:pPr>
      <w:bookmarkStart w:id="1177" w:name="RG_MARKER_6631"/>
      <w:r w:rsidRPr="006036E7">
        <w:rPr>
          <w:rFonts w:ascii="Arial Narrow" w:eastAsia="Arial Narrow" w:hAnsi="Arial Narrow" w:cs="Arial Narrow"/>
          <w:sz w:val="16"/>
          <w:szCs w:val="16"/>
        </w:rPr>
        <w:t xml:space="preserve">Vidēji svērtā aizņēmumu likme nomas saistībām 2021. gadā </w:t>
      </w:r>
      <w:bookmarkEnd w:id="1177"/>
      <w:r w:rsidRPr="006036E7">
        <w:rPr>
          <w:rFonts w:ascii="Arial Narrow" w:eastAsia="Arial Narrow" w:hAnsi="Arial Narrow" w:cs="Arial Narrow"/>
          <w:sz w:val="16"/>
          <w:szCs w:val="16"/>
        </w:rPr>
        <w:t>bija</w:t>
      </w:r>
      <w:r w:rsidRPr="006036E7">
        <w:rPr>
          <w:rFonts w:ascii="Arial Narrow" w:eastAsia="Arial Narrow" w:hAnsi="Arial Narrow" w:cs="Arial Narrow"/>
          <w:sz w:val="16"/>
          <w:szCs w:val="16"/>
        </w:rPr>
        <w:t xml:space="preserve"> 2,73% (2020.gadā: 2,8%).</w:t>
      </w:r>
    </w:p>
    <w:p w:rsidR="00A37601" w:rsidRPr="00A37601" w:rsidP="00A37601" w14:paraId="15A2AC6E" w14:textId="77777777">
      <w:pPr>
        <w:spacing w:line="360" w:lineRule="auto"/>
        <w:jc w:val="both"/>
        <w:rPr>
          <w:rFonts w:ascii="Arial Narrow" w:eastAsia="Arial Narrow" w:hAnsi="Arial Narrow" w:cs="Arial Narrow"/>
          <w:sz w:val="16"/>
          <w:szCs w:val="16"/>
        </w:rPr>
      </w:pPr>
      <w:r w:rsidRPr="00A37601">
        <w:rPr>
          <w:rFonts w:ascii="Arial Narrow" w:eastAsia="Arial Narrow" w:hAnsi="Arial Narrow" w:cs="Arial Narrow"/>
          <w:sz w:val="16"/>
          <w:szCs w:val="16"/>
        </w:rPr>
        <w:t>Būtisks</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nomas</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saistību</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samazinājums</w:t>
      </w:r>
      <w:r w:rsidRPr="00A37601">
        <w:rPr>
          <w:rFonts w:ascii="Arial Narrow" w:eastAsia="Arial Narrow" w:hAnsi="Arial Narrow" w:cs="Arial Narrow"/>
          <w:sz w:val="16"/>
          <w:szCs w:val="16"/>
        </w:rPr>
        <w:t xml:space="preserve"> par </w:t>
      </w:r>
      <w:r w:rsidRPr="00A37601">
        <w:rPr>
          <w:rFonts w:ascii="Arial Narrow" w:eastAsia="Arial Narrow" w:hAnsi="Arial Narrow" w:cs="Arial Narrow"/>
          <w:sz w:val="16"/>
          <w:szCs w:val="16"/>
        </w:rPr>
        <w:t>lietošanas</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tiesību</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aktīviem</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ir</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saistīts</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ar</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nomas</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platību</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samazināšanos</w:t>
      </w:r>
      <w:r w:rsidRPr="00A37601">
        <w:rPr>
          <w:rFonts w:ascii="Arial Narrow" w:eastAsia="Arial Narrow" w:hAnsi="Arial Narrow" w:cs="Arial Narrow"/>
          <w:sz w:val="16"/>
          <w:szCs w:val="16"/>
        </w:rPr>
        <w:t xml:space="preserve">. AS Mogo tika </w:t>
      </w:r>
      <w:r w:rsidRPr="00A37601">
        <w:rPr>
          <w:rFonts w:ascii="Arial Narrow" w:eastAsia="Arial Narrow" w:hAnsi="Arial Narrow" w:cs="Arial Narrow"/>
          <w:sz w:val="16"/>
          <w:szCs w:val="16"/>
        </w:rPr>
        <w:t>noslēgts</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jauns</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īres</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līgums</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kā</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rezultātā</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īres</w:t>
      </w:r>
      <w:r w:rsidRPr="00A37601">
        <w:rPr>
          <w:rFonts w:ascii="Arial Narrow" w:eastAsia="Arial Narrow" w:hAnsi="Arial Narrow" w:cs="Arial Narrow"/>
          <w:sz w:val="16"/>
          <w:szCs w:val="16"/>
        </w:rPr>
        <w:t xml:space="preserve"> izdevumi </w:t>
      </w:r>
      <w:r w:rsidRPr="00A37601">
        <w:rPr>
          <w:rFonts w:ascii="Arial Narrow" w:eastAsia="Arial Narrow" w:hAnsi="Arial Narrow" w:cs="Arial Narrow"/>
          <w:sz w:val="16"/>
          <w:szCs w:val="16"/>
        </w:rPr>
        <w:t>ir</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samazināti</w:t>
      </w:r>
      <w:r w:rsidRPr="00A37601">
        <w:rPr>
          <w:rFonts w:ascii="Arial Narrow" w:eastAsia="Arial Narrow" w:hAnsi="Arial Narrow" w:cs="Arial Narrow"/>
          <w:sz w:val="16"/>
          <w:szCs w:val="16"/>
        </w:rPr>
        <w:t xml:space="preserve"> par 32% </w:t>
      </w:r>
      <w:r w:rsidRPr="00A37601">
        <w:rPr>
          <w:rFonts w:ascii="Arial Narrow" w:eastAsia="Arial Narrow" w:hAnsi="Arial Narrow" w:cs="Arial Narrow"/>
          <w:sz w:val="16"/>
          <w:szCs w:val="16"/>
        </w:rPr>
        <w:t>mēnesī</w:t>
      </w:r>
      <w:r w:rsidRPr="00A37601">
        <w:rPr>
          <w:rFonts w:ascii="Arial Narrow" w:eastAsia="Arial Narrow" w:hAnsi="Arial Narrow" w:cs="Arial Narrow"/>
          <w:sz w:val="16"/>
          <w:szCs w:val="16"/>
        </w:rPr>
        <w:t>.</w:t>
      </w:r>
    </w:p>
    <w:p w:rsidR="00A37601" w:rsidRPr="006036E7" w:rsidP="00A37601" w14:paraId="501C914E" w14:textId="1CBDC118">
      <w:pPr>
        <w:spacing w:line="360" w:lineRule="auto"/>
        <w:jc w:val="both"/>
        <w:rPr>
          <w:rFonts w:ascii="Arial Narrow" w:eastAsia="Arial Narrow" w:hAnsi="Arial Narrow" w:cs="Arial Narrow"/>
          <w:sz w:val="16"/>
          <w:szCs w:val="16"/>
        </w:rPr>
      </w:pPr>
      <w:r w:rsidRPr="00A37601">
        <w:rPr>
          <w:rFonts w:ascii="Arial Narrow" w:eastAsia="Arial Narrow" w:hAnsi="Arial Narrow" w:cs="Arial Narrow"/>
          <w:sz w:val="16"/>
          <w:szCs w:val="16"/>
        </w:rPr>
        <w:t xml:space="preserve">Nav </w:t>
      </w:r>
      <w:r w:rsidRPr="00A37601">
        <w:rPr>
          <w:rFonts w:ascii="Arial Narrow" w:eastAsia="Arial Narrow" w:hAnsi="Arial Narrow" w:cs="Arial Narrow"/>
          <w:sz w:val="16"/>
          <w:szCs w:val="16"/>
        </w:rPr>
        <w:t>izmaksu</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pārskatta</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gadā</w:t>
      </w:r>
      <w:r w:rsidRPr="00A37601">
        <w:rPr>
          <w:rFonts w:ascii="Arial Narrow" w:eastAsia="Arial Narrow" w:hAnsi="Arial Narrow" w:cs="Arial Narrow"/>
          <w:sz w:val="16"/>
          <w:szCs w:val="16"/>
        </w:rPr>
        <w:t xml:space="preserve">, kas </w:t>
      </w:r>
      <w:r w:rsidRPr="00A37601">
        <w:rPr>
          <w:rFonts w:ascii="Arial Narrow" w:eastAsia="Arial Narrow" w:hAnsi="Arial Narrow" w:cs="Arial Narrow"/>
          <w:sz w:val="16"/>
          <w:szCs w:val="16"/>
        </w:rPr>
        <w:t>beidzās</w:t>
      </w:r>
      <w:r w:rsidRPr="00A37601">
        <w:rPr>
          <w:rFonts w:ascii="Arial Narrow" w:eastAsia="Arial Narrow" w:hAnsi="Arial Narrow" w:cs="Arial Narrow"/>
          <w:sz w:val="16"/>
          <w:szCs w:val="16"/>
        </w:rPr>
        <w:t xml:space="preserve"> 2021. </w:t>
      </w:r>
      <w:r w:rsidRPr="00A37601">
        <w:rPr>
          <w:rFonts w:ascii="Arial Narrow" w:eastAsia="Arial Narrow" w:hAnsi="Arial Narrow" w:cs="Arial Narrow"/>
          <w:sz w:val="16"/>
          <w:szCs w:val="16"/>
        </w:rPr>
        <w:t>Gada</w:t>
      </w:r>
      <w:r w:rsidRPr="00A37601">
        <w:rPr>
          <w:rFonts w:ascii="Arial Narrow" w:eastAsia="Arial Narrow" w:hAnsi="Arial Narrow" w:cs="Arial Narrow"/>
          <w:sz w:val="16"/>
          <w:szCs w:val="16"/>
        </w:rPr>
        <w:t xml:space="preserve"> 31. </w:t>
      </w:r>
      <w:r w:rsidRPr="00A37601">
        <w:rPr>
          <w:rFonts w:ascii="Arial Narrow" w:eastAsia="Arial Narrow" w:hAnsi="Arial Narrow" w:cs="Arial Narrow"/>
          <w:sz w:val="16"/>
          <w:szCs w:val="16"/>
        </w:rPr>
        <w:t>decembrī</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saistībā</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ar</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mainīgiem</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nomas</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maksājumiem</w:t>
      </w:r>
      <w:r w:rsidRPr="00A37601">
        <w:rPr>
          <w:rFonts w:ascii="Arial Narrow" w:eastAsia="Arial Narrow" w:hAnsi="Arial Narrow" w:cs="Arial Narrow"/>
          <w:sz w:val="16"/>
          <w:szCs w:val="16"/>
        </w:rPr>
        <w:t xml:space="preserve">, kas </w:t>
      </w:r>
      <w:r w:rsidRPr="00A37601">
        <w:rPr>
          <w:rFonts w:ascii="Arial Narrow" w:eastAsia="Arial Narrow" w:hAnsi="Arial Narrow" w:cs="Arial Narrow"/>
          <w:sz w:val="16"/>
          <w:szCs w:val="16"/>
        </w:rPr>
        <w:t>ir</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atkarīgi</w:t>
      </w:r>
      <w:r w:rsidRPr="00A37601">
        <w:rPr>
          <w:rFonts w:ascii="Arial Narrow" w:eastAsia="Arial Narrow" w:hAnsi="Arial Narrow" w:cs="Arial Narrow"/>
          <w:sz w:val="16"/>
          <w:szCs w:val="16"/>
        </w:rPr>
        <w:t xml:space="preserve"> no </w:t>
      </w:r>
      <w:r w:rsidRPr="00A37601">
        <w:rPr>
          <w:rFonts w:ascii="Arial Narrow" w:eastAsia="Arial Narrow" w:hAnsi="Arial Narrow" w:cs="Arial Narrow"/>
          <w:sz w:val="16"/>
          <w:szCs w:val="16"/>
        </w:rPr>
        <w:t>indeksa</w:t>
      </w:r>
      <w:r w:rsidRPr="00A37601">
        <w:rPr>
          <w:rFonts w:ascii="Arial Narrow" w:eastAsia="Arial Narrow" w:hAnsi="Arial Narrow" w:cs="Arial Narrow"/>
          <w:sz w:val="16"/>
          <w:szCs w:val="16"/>
        </w:rPr>
        <w:t xml:space="preserve"> vai </w:t>
      </w:r>
      <w:r w:rsidRPr="00A37601">
        <w:rPr>
          <w:rFonts w:ascii="Arial Narrow" w:eastAsia="Arial Narrow" w:hAnsi="Arial Narrow" w:cs="Arial Narrow"/>
          <w:sz w:val="16"/>
          <w:szCs w:val="16"/>
        </w:rPr>
        <w:t>likmes</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Nebija</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neviena</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nomas</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līguma</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ar</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atlikušās</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vērtības</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garantijām</w:t>
      </w:r>
      <w:r w:rsidRPr="00A37601">
        <w:rPr>
          <w:rFonts w:ascii="Arial Narrow" w:eastAsia="Arial Narrow" w:hAnsi="Arial Narrow" w:cs="Arial Narrow"/>
          <w:sz w:val="16"/>
          <w:szCs w:val="16"/>
        </w:rPr>
        <w:t xml:space="preserve"> vai </w:t>
      </w:r>
      <w:r w:rsidRPr="00A37601">
        <w:rPr>
          <w:rFonts w:ascii="Arial Narrow" w:eastAsia="Arial Narrow" w:hAnsi="Arial Narrow" w:cs="Arial Narrow"/>
          <w:sz w:val="16"/>
          <w:szCs w:val="16"/>
        </w:rPr>
        <w:t>vēl</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neuzsāktu</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nomu</w:t>
      </w:r>
      <w:r w:rsidRPr="00A37601">
        <w:rPr>
          <w:rFonts w:ascii="Arial Narrow" w:eastAsia="Arial Narrow" w:hAnsi="Arial Narrow" w:cs="Arial Narrow"/>
          <w:sz w:val="16"/>
          <w:szCs w:val="16"/>
        </w:rPr>
        <w:t xml:space="preserve">, ko </w:t>
      </w:r>
      <w:r w:rsidRPr="00A37601">
        <w:rPr>
          <w:rFonts w:ascii="Arial Narrow" w:eastAsia="Arial Narrow" w:hAnsi="Arial Narrow" w:cs="Arial Narrow"/>
          <w:sz w:val="16"/>
          <w:szCs w:val="16"/>
        </w:rPr>
        <w:t>Sabiedrība</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būtu</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apņēmusies</w:t>
      </w:r>
      <w:r w:rsidRPr="00A37601">
        <w:rPr>
          <w:rFonts w:ascii="Arial Narrow" w:eastAsia="Arial Narrow" w:hAnsi="Arial Narrow" w:cs="Arial Narrow"/>
          <w:sz w:val="16"/>
          <w:szCs w:val="16"/>
        </w:rPr>
        <w:t xml:space="preserve"> </w:t>
      </w:r>
      <w:r w:rsidRPr="00A37601">
        <w:rPr>
          <w:rFonts w:ascii="Arial Narrow" w:eastAsia="Arial Narrow" w:hAnsi="Arial Narrow" w:cs="Arial Narrow"/>
          <w:sz w:val="16"/>
          <w:szCs w:val="16"/>
        </w:rPr>
        <w:t>pildīt</w:t>
      </w:r>
      <w:r w:rsidRPr="00A37601">
        <w:rPr>
          <w:rFonts w:ascii="Arial Narrow" w:eastAsia="Arial Narrow" w:hAnsi="Arial Narrow" w:cs="Arial Narrow"/>
          <w:sz w:val="16"/>
          <w:szCs w:val="16"/>
        </w:rPr>
        <w:t>.</w:t>
      </w:r>
    </w:p>
    <w:p w:rsidR="00522739" w:rsidRPr="006036E7" w:rsidP="001C5198" w14:textId="49AFCE97">
      <w:pPr>
        <w:spacing w:line="360" w:lineRule="auto"/>
        <w:jc w:val="both"/>
        <w:rPr>
          <w:rFonts w:ascii="Arial Narrow" w:eastAsia="Arial Narrow" w:hAnsi="Arial Narrow" w:cs="Arial Narrow"/>
          <w:sz w:val="16"/>
          <w:szCs w:val="16"/>
        </w:rPr>
      </w:pPr>
      <w:r>
        <w:t xml:space="preserve"> </w:t>
      </w:r>
    </w:p>
    <w:p w:rsidR="005D2EA1" w:rsidRPr="00537A20" w:rsidP="00537A20" w14:paraId="306B0E3E" w14:textId="3006998C">
      <w:pPr>
        <w:pageBreakBefore/>
        <w:spacing w:line="360" w:lineRule="auto"/>
        <w:jc w:val="both"/>
        <w:rPr>
          <w:rFonts w:ascii="Arial Narrow" w:eastAsia="Arial Narrow" w:hAnsi="Arial Narrow" w:cs="Arial Narrow"/>
          <w:sz w:val="16"/>
          <w:szCs w:val="16"/>
        </w:rPr>
      </w:pPr>
      <w:bookmarkStart w:id="1178" w:name="RG_MARKER_6632"/>
      <w:bookmarkStart w:id="1179" w:name="RG_MARKER_6442"/>
      <w:r w:rsidRPr="007D081E">
        <w:rPr>
          <w:rFonts w:ascii="Arial Narrow" w:eastAsia="Arial Narrow" w:hAnsi="Arial Narrow" w:cs="Arial Narrow"/>
          <w:b/>
          <w:bCs/>
          <w:sz w:val="16"/>
          <w:szCs w:val="16"/>
        </w:rPr>
        <w:t>19</w:t>
      </w:r>
      <w:bookmarkEnd w:id="1179"/>
      <w:bookmarkEnd w:id="1178"/>
      <w:r w:rsidRPr="00537A20">
        <w:rPr>
          <w:rFonts w:ascii="Arial Narrow" w:eastAsia="Arial Narrow" w:hAnsi="Arial Narrow" w:cs="Arial Narrow"/>
          <w:b/>
          <w:bCs/>
          <w:sz w:val="16"/>
          <w:szCs w:val="16"/>
        </w:rPr>
        <w:t>. No finanšu nomas izrietošas prasības</w:t>
      </w:r>
    </w:p>
    <w:p w:rsidR="00522739" w:rsidRPr="00537A20" w:rsidP="00537A20" w14:textId="2EAFF45D">
      <w:pPr>
        <w:spacing w:line="360" w:lineRule="auto"/>
        <w:jc w:val="both"/>
        <w:rPr>
          <w:rFonts w:ascii="Arial Narrow" w:eastAsia="Arial Narrow" w:hAnsi="Arial Narrow" w:cs="Arial Narrow"/>
          <w:sz w:val="16"/>
          <w:szCs w:val="16"/>
        </w:rPr>
      </w:pPr>
      <w:r w:rsidRPr="00537A20">
        <w:rPr>
          <w:rFonts w:ascii="Arial Narrow" w:eastAsia="Arial Narrow" w:hAnsi="Arial Narrow" w:cs="Arial Narrow"/>
          <w:sz w:val="16"/>
          <w:szCs w:val="16"/>
        </w:rPr>
        <w:t>Tabulā ir atspoguļota kredītkvalitāte un maksimālais kredītrisks saskaņā ar Koncerna iekšējo kredītreitinga sistēmu un iedalījumu stadijās gada beigās. Uzrādītās summas ietver uzkrājumus vērtības samazinājumam.</w:t>
      </w:r>
    </w:p>
    <w:tbl>
      <w:tblPr>
        <w:tblStyle w:val="CDMRange1"/>
        <w:tblW w:w="9600" w:type="dxa"/>
        <w:tblLayout w:type="fixed"/>
        <w:tblLook w:val="0600"/>
      </w:tblPr>
      <w:tblGrid>
        <w:gridCol w:w="4350"/>
        <w:gridCol w:w="1050"/>
        <w:gridCol w:w="1050"/>
        <w:gridCol w:w="1050"/>
        <w:gridCol w:w="1050"/>
        <w:gridCol w:w="1050"/>
      </w:tblGrid>
      <w:tr>
        <w:tblPrEx>
          <w:tblW w:w="9600" w:type="dxa"/>
          <w:tblLayout w:type="fixed"/>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200" w:type="dxa"/>
            <w:gridSpan w:val="4"/>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No finanšu nomas izrietošas prasības</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KOPĀ</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KOPĀ</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Nav kavēti</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2,134,465</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75,748</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54,483</w:t>
            </w:r>
          </w:p>
        </w:tc>
        <w:tc>
          <w:tcPr>
            <w:tcW w:w="105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2,264,696</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2,323,396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1-30</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208,595</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87,808</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12,541</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308,943</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581,200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31-60</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61,492</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43,825</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105,317</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71,757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&gt;60</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281,483</w:t>
            </w:r>
          </w:p>
        </w:tc>
        <w:tc>
          <w:tcPr>
            <w:tcW w:w="105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281,483</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713,541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2,343,060</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225,049</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392,332</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2,960,440</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3,689,894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9600" w:type="dxa"/>
            <w:gridSpan w:val="6"/>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Izmaiņas no finanšu nomas izrietošo prasību bruto uzskaites vērtībā un atbilstošajos ECL uzkrājumos ir šādas:</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200" w:type="dxa"/>
            <w:gridSpan w:val="4"/>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No finanšu nomas izrietošas prasības</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3.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Kopā</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Atlikums 1.janvārī </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2,556,602</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329,679</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803,613</w:t>
            </w:r>
          </w:p>
        </w:tc>
        <w:tc>
          <w:tcPr>
            <w:tcW w:w="105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3,689,894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1.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81,230</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(72,868)</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(8,361)</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2.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(85,165)</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93,029</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(7,864)</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3.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(49,172)</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(26,682)</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75,854</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Iegādāti jauni finanšu aktīvi</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1,925,826</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64,264</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72,852</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2,062,942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Nokārtoti debitoru parādi</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(169,415)</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(34,626)</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(20,733)</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(224,775)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Norakstīti debitoru parādi</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(1,855,547)</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(88,385)</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(483,232)</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(2,427,165)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Daļēji nokārtoti debitoru parādi</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(61,299)</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(39,362)</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(39,795)</w:t>
            </w:r>
          </w:p>
        </w:tc>
        <w:tc>
          <w:tcPr>
            <w:tcW w:w="105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(140,456)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Atlikums 31.decembrī</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2,343,060</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225,049</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392,332</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2,960,440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200" w:type="dxa"/>
            <w:gridSpan w:val="4"/>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No finanšu nomas izrietošas prasības</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3.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Kopā</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Atlikums 1.janvārī </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4,356,399</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505,764</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1,007,336</w:t>
            </w:r>
          </w:p>
        </w:tc>
        <w:tc>
          <w:tcPr>
            <w:tcW w:w="105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5,869,499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1.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121,621</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(101,502)</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(20,119)</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2.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(194,228)</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215,116</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(20,888)</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3.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(242,283)</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(123,591)</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365,874</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Iegādāti jauni finanšu aktīvi</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491,922</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18,096</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12,842</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522,860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Nokārtoti debitoru parādi</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(584,287)</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(45,337)</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(53,674)</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(683,298)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Norakstīti debitoru parādi</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(977,403)</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(74,105)</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(303,787)</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(1,355,295)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Daļēji nokārtoti debitoru parādi</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(415,139)</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(64,762)</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(183,971)</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(663,872)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 xml:space="preserve">Atlikums 31.decembrī </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2,556,602</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329,679</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803,613</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3,689,894</w:t>
            </w:r>
          </w:p>
        </w:tc>
      </w:tr>
    </w:tbl>
    <w:p/>
    <w:p w:rsidR="001B031B" w:rsidRPr="00F906F3" w:rsidP="00F906F3" w14:paraId="1033D000" w14:textId="42A9E6D4">
      <w:pPr>
        <w:spacing w:line="360" w:lineRule="auto"/>
        <w:jc w:val="both"/>
        <w:rPr>
          <w:rFonts w:ascii="Arial Narrow" w:eastAsia="Arial Narrow" w:hAnsi="Arial Narrow" w:cs="Arial Narrow"/>
          <w:sz w:val="16"/>
          <w:szCs w:val="16"/>
        </w:rPr>
      </w:pPr>
      <w:bookmarkStart w:id="1180" w:name="RG_MARKER_6634"/>
      <w:r w:rsidRPr="00F906F3">
        <w:rPr>
          <w:rFonts w:ascii="Arial Narrow" w:eastAsia="Arial Narrow" w:hAnsi="Arial Narrow" w:cs="Arial Narrow"/>
          <w:sz w:val="16"/>
          <w:szCs w:val="16"/>
        </w:rPr>
        <w:t xml:space="preserve">Pārcelšana starp dažādām stadijām atspoguļo gada laikā notikušās izmaiņas finanšu aktīvos, kuri slēguma bilances datumā ir citā stadijā nekā sākuma bilances datumā. Pārcelšana starp stadijām tiek veikta, balstoties uz sākuma atlikumiem. Iegādāti </w:t>
      </w:r>
      <w:bookmarkEnd w:id="1180"/>
      <w:r w:rsidRPr="00F906F3">
        <w:rPr>
          <w:rFonts w:ascii="Arial Narrow" w:eastAsia="Arial Narrow" w:hAnsi="Arial Narrow" w:cs="Arial Narrow"/>
          <w:sz w:val="16"/>
          <w:szCs w:val="16"/>
        </w:rPr>
        <w:t>jauni finanšu aktīvi ir novērtēti, balstoties uz beigu atlikumu.</w:t>
      </w:r>
    </w:p>
    <w:p w:rsidR="00522739" w:rsidRPr="00F906F3" w:rsidP="00F906F3" w14:textId="0B0923B8">
      <w:pPr>
        <w:spacing w:line="360" w:lineRule="auto"/>
        <w:jc w:val="both"/>
        <w:rPr>
          <w:rFonts w:ascii="Arial Narrow" w:eastAsia="Arial Narrow" w:hAnsi="Arial Narrow" w:cs="Arial Narrow"/>
          <w:sz w:val="16"/>
          <w:szCs w:val="16"/>
        </w:rPr>
      </w:pPr>
      <w:r w:rsidRPr="00F906F3">
        <w:rPr>
          <w:rFonts w:ascii="Arial Narrow" w:eastAsia="Arial Narrow" w:hAnsi="Arial Narrow" w:cs="Arial Narrow"/>
          <w:sz w:val="16"/>
          <w:szCs w:val="16"/>
        </w:rPr>
        <w:t>Debitoru parādi, kas tiek daļēji nokārtoti brīdī, kad aktīvs tiek pārcelts uz citu stadiju, tiek uzskaitīti tajā stadijā, uz kuru aktīvs tiek pārcelts. Tas ir periods līdz datumam, kad no fin</w:t>
      </w:r>
      <w:r w:rsidRPr="00F906F3">
        <w:rPr>
          <w:rFonts w:ascii="Arial Narrow" w:eastAsia="Arial Narrow" w:hAnsi="Arial Narrow" w:cs="Arial Narrow"/>
          <w:sz w:val="16"/>
          <w:szCs w:val="16"/>
        </w:rPr>
        <w:t>anšu nomas izrietošās prasības tiek pārceltas uz konkrēto stadiju.</w:t>
      </w:r>
    </w:p>
    <w:tbl>
      <w:tblPr>
        <w:tblStyle w:val="CDMRange2"/>
        <w:tblW w:w="9600" w:type="dxa"/>
        <w:tblLayout w:type="fixed"/>
        <w:tblLook w:val="0600"/>
      </w:tblPr>
      <w:tblGrid>
        <w:gridCol w:w="4350"/>
        <w:gridCol w:w="1050"/>
        <w:gridCol w:w="1050"/>
        <w:gridCol w:w="1050"/>
        <w:gridCol w:w="1050"/>
        <w:gridCol w:w="1050"/>
      </w:tblGrid>
      <w:tr>
        <w:tblPrEx>
          <w:tblW w:w="9600" w:type="dxa"/>
          <w:tblLayout w:type="fixed"/>
          <w:tblLook w:val="0600"/>
        </w:tblPrEx>
        <w:trPr>
          <w:trHeight w:val="255"/>
        </w:trPr>
        <w:tc>
          <w:tcPr>
            <w:tcW w:w="43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pageBreakBefore/>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19. No finanšu nomas izrietošas prasības (turpinājums)</w:t>
            </w: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200" w:type="dxa"/>
            <w:gridSpan w:val="4"/>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Uzkrājumi vērtības samazinājumam</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3.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Kopā</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Atlikums 1.janvārī </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47,606</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41,811</w:t>
            </w:r>
          </w:p>
        </w:tc>
        <w:tc>
          <w:tcPr>
            <w:tcW w:w="105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654,012</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743,429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1.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14,383</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(9,005)</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(5,378)</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2.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(2,793)</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8,156</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(5,363)</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3.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(1,919)</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(4,011)</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5,930</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Jaunu iegādātu finanšu aktīvu vērtības samazinājums</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37,934</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10,765</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34,755</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83,453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Atcelts vērtības samazinājums nokārtotiem debitoru parādiem</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(3,620)</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(4,347)</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(11,202)</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(19,168)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Atcelts vērtības samazinājums norakstītiem debitoru parādiem</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(30,938)</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(10,986)</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(396,440)</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(438,364)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Neto pārvērtētie uzkrājumi </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(11,110)</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6,136</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29,943</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24,968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Atlikums 31.decembrī</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49,544</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38,519</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306,256</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394,318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4200" w:type="dxa"/>
            <w:gridSpan w:val="4"/>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Uzkrājumi vērtības samazinājumam</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3.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Kopā</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Atlikums 1.janvārī </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121,025</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101,562</w:t>
            </w:r>
          </w:p>
        </w:tc>
        <w:tc>
          <w:tcPr>
            <w:tcW w:w="105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721,354</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943,941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1.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26,429</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(19,442)</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(6,987)</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2.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(9,129)</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16,383</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(7,254)</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3.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(9,685)</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(24,059)</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33,744</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Jaunu iegādātu finanšu aktīvu vērtības samazinājums</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6,512</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2,731</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6,636</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15,879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Atcelts vērtības samazinājums nokārtotiem debitoru parādiem</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(13,852)</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(9,230)</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(36,572)</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(59,654)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Atcelts vērtības samazinājums norakstītiem debitoru parādiem</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(24,017)</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(15,710)</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(213,956)</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(253,683)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Neto pārvērtētie uzkrājumi </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(49,677)</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(10,424)</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157,047</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96,946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 xml:space="preserve">Atlikums 31.decembrī </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47,606</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41,811</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654,012</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743,429</w:t>
            </w:r>
          </w:p>
        </w:tc>
      </w:tr>
    </w:tbl>
    <w:p/>
    <w:p w:rsidR="0030541B" w:rsidRPr="00430BC5" w:rsidP="00430BC5" w14:paraId="595EE920" w14:textId="5487BEAF">
      <w:pPr>
        <w:spacing w:line="360" w:lineRule="auto"/>
        <w:jc w:val="both"/>
        <w:rPr>
          <w:rFonts w:ascii="Arial Narrow" w:eastAsia="Arial Narrow" w:hAnsi="Arial Narrow" w:cs="Arial Narrow"/>
          <w:sz w:val="16"/>
          <w:szCs w:val="16"/>
        </w:rPr>
      </w:pPr>
      <w:bookmarkStart w:id="1181" w:name="RG_MARKER_6637"/>
      <w:r w:rsidRPr="00430BC5">
        <w:rPr>
          <w:rFonts w:ascii="Arial Narrow" w:eastAsia="Arial Narrow" w:hAnsi="Arial Narrow" w:cs="Arial Narrow"/>
          <w:sz w:val="16"/>
          <w:szCs w:val="16"/>
        </w:rPr>
        <w:t xml:space="preserve">Pārcelšana starp dažādām stadijām atspoguļo gada laikā notikušās izmaiņas uzkrājumos zaudējumiem no vērtības samazinājuma finanšu aktīviem, kuri slēguma bilances datumā ir citā stadijā nekā sākuma bilances datumā. Pārcelšana starp stadijām tiek </w:t>
      </w:r>
      <w:bookmarkEnd w:id="1181"/>
      <w:r w:rsidRPr="00430BC5">
        <w:rPr>
          <w:rFonts w:ascii="Arial Narrow" w:eastAsia="Arial Narrow" w:hAnsi="Arial Narrow" w:cs="Arial Narrow"/>
          <w:sz w:val="16"/>
          <w:szCs w:val="16"/>
        </w:rPr>
        <w:t>veikta, balstoties uz ECL perioda sākumā. Vērtības samazinājums iegādātiem jauniem finanšu aktīviem ir novērtēts, balstoties uz beigu atlikumu.</w:t>
      </w:r>
    </w:p>
    <w:p w:rsidR="0030541B" w:rsidRPr="00430BC5" w:rsidP="00430BC5" w14:paraId="0F07F682" w14:textId="301FF1B0">
      <w:pPr>
        <w:spacing w:line="360" w:lineRule="auto"/>
        <w:jc w:val="both"/>
        <w:rPr>
          <w:rFonts w:ascii="Arial Narrow" w:eastAsia="Arial Narrow" w:hAnsi="Arial Narrow" w:cs="Arial Narrow"/>
          <w:sz w:val="16"/>
          <w:szCs w:val="16"/>
        </w:rPr>
      </w:pPr>
      <w:r w:rsidRPr="00430BC5">
        <w:rPr>
          <w:rFonts w:ascii="Arial Narrow" w:eastAsia="Arial Narrow" w:hAnsi="Arial Narrow" w:cs="Arial Narrow"/>
          <w:sz w:val="16"/>
          <w:szCs w:val="16"/>
        </w:rPr>
        <w:t xml:space="preserve">Neto rezultāts no uzkrājumu zaudējumiem no vērtības samazinājuma pārvērtēšanas tiek uzskaitīts tajā stadijā, uz </w:t>
      </w:r>
      <w:r w:rsidRPr="00430BC5">
        <w:rPr>
          <w:rFonts w:ascii="Arial Narrow" w:eastAsia="Arial Narrow" w:hAnsi="Arial Narrow" w:cs="Arial Narrow"/>
          <w:sz w:val="16"/>
          <w:szCs w:val="16"/>
        </w:rPr>
        <w:t>kuru aktīvs tiek pārcelts. Tas ir periods līdz datumam, kad uzkrājumi zaudējumiem no vērtības samazinājuma pārvērtēšanas tiek pārcelti uz konkrēto stadiju.</w:t>
      </w:r>
    </w:p>
    <w:p w:rsidR="00522739" w:rsidRPr="00430BC5" w:rsidP="00430BC5" w14:textId="779527AC">
      <w:pPr>
        <w:spacing w:line="360" w:lineRule="auto"/>
        <w:jc w:val="both"/>
        <w:rPr>
          <w:rFonts w:ascii="Arial Narrow" w:eastAsia="Arial Narrow" w:hAnsi="Arial Narrow" w:cs="Arial Narrow"/>
          <w:sz w:val="16"/>
          <w:szCs w:val="16"/>
        </w:rPr>
      </w:pPr>
      <w:r w:rsidRPr="00430BC5">
        <w:rPr>
          <w:rFonts w:ascii="Arial Narrow" w:eastAsia="Arial Narrow" w:hAnsi="Arial Narrow" w:cs="Arial Narrow"/>
          <w:sz w:val="16"/>
          <w:szCs w:val="16"/>
        </w:rPr>
        <w:t xml:space="preserve">Izmaiņas no finanšu nomas izrietošo prasību bruto uzskaites vērtībā un atbilstošajos ECL uzkrājumos </w:t>
      </w:r>
      <w:r w:rsidRPr="00430BC5">
        <w:rPr>
          <w:rFonts w:ascii="Arial Narrow" w:eastAsia="Arial Narrow" w:hAnsi="Arial Narrow" w:cs="Arial Narrow"/>
          <w:sz w:val="16"/>
          <w:szCs w:val="16"/>
        </w:rPr>
        <w:t>ir šādas:</w:t>
      </w:r>
    </w:p>
    <w:tbl>
      <w:tblPr>
        <w:tblStyle w:val="CDMRange1"/>
        <w:tblW w:w="9600" w:type="dxa"/>
        <w:tblLayout w:type="fixed"/>
        <w:tblLook w:val="0600"/>
      </w:tblPr>
      <w:tblGrid>
        <w:gridCol w:w="3900"/>
        <w:gridCol w:w="450"/>
        <w:gridCol w:w="1050"/>
        <w:gridCol w:w="1050"/>
        <w:gridCol w:w="1050"/>
        <w:gridCol w:w="1050"/>
        <w:gridCol w:w="1050"/>
      </w:tblGrid>
      <w:tr>
        <w:tblPrEx>
          <w:tblW w:w="9600" w:type="dxa"/>
          <w:tblLayout w:type="fixed"/>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200" w:type="dxa"/>
            <w:gridSpan w:val="4"/>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Minimālie nomas maksājumi</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No finanšu nomas izrietošas prasības</w:t>
            </w:r>
          </w:p>
        </w:tc>
        <w:tc>
          <w:tcPr>
            <w:tcW w:w="4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stadija</w:t>
            </w:r>
          </w:p>
        </w:tc>
        <w:tc>
          <w:tcPr>
            <w:tcW w:w="4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2,343,060</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79%</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2,556,602</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stadija</w:t>
            </w: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225,049</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329,679</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 stadija</w:t>
            </w:r>
          </w:p>
        </w:tc>
        <w:tc>
          <w:tcPr>
            <w:tcW w:w="4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392,332</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803,613</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gridSpan w:val="2"/>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BRUTO:</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2,960,440</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100%</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3,689,894</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Minimālie nomas maksājumi</w:t>
            </w:r>
          </w:p>
        </w:tc>
        <w:tc>
          <w:tcPr>
            <w:tcW w:w="2100" w:type="dxa"/>
            <w:gridSpan w:val="2"/>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Izmaiņas perioda laikā</w:t>
            </w:r>
          </w:p>
        </w:tc>
        <w:tc>
          <w:tcPr>
            <w:tcW w:w="105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Minimālie nomas                         maksājumi</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2100" w:type="dxa"/>
            <w:gridSpan w:val="2"/>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No finanšu nomas izrietošas prasības</w:t>
            </w:r>
          </w:p>
        </w:tc>
        <w:tc>
          <w:tcPr>
            <w:tcW w:w="4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stadija</w:t>
            </w:r>
          </w:p>
        </w:tc>
        <w:tc>
          <w:tcPr>
            <w:tcW w:w="4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2,343,060</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(213,542)</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2,556,602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stadija</w:t>
            </w: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225,049</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(104,630)</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329,679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 stadija</w:t>
            </w:r>
          </w:p>
        </w:tc>
        <w:tc>
          <w:tcPr>
            <w:tcW w:w="4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392,332</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(411,281)</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-51%</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803,613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00" w:type="dxa"/>
            <w:gridSpan w:val="2"/>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BRUTO:</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2,960,440</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(729,454)</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3,689,894</w:t>
            </w:r>
          </w:p>
        </w:tc>
      </w:tr>
    </w:tbl>
    <w:tbl>
      <w:tblPr>
        <w:tblStyle w:val="CDMRange2"/>
        <w:tblW w:w="9600" w:type="dxa"/>
        <w:tblLayout w:type="fixed"/>
        <w:tblLook w:val="0600"/>
      </w:tblPr>
      <w:tblGrid>
        <w:gridCol w:w="3900"/>
        <w:gridCol w:w="450"/>
        <w:gridCol w:w="1050"/>
        <w:gridCol w:w="1050"/>
        <w:gridCol w:w="1050"/>
        <w:gridCol w:w="1050"/>
        <w:gridCol w:w="1050"/>
      </w:tblGrid>
      <w:tr>
        <w:tblPrEx>
          <w:tblW w:w="9600" w:type="dxa"/>
          <w:tblLayout w:type="fixed"/>
          <w:tblLook w:val="0600"/>
        </w:tblPrEx>
        <w:trPr>
          <w:trHeight w:hRule="exact" w:val="255"/>
        </w:trPr>
        <w:tc>
          <w:tcPr>
            <w:tcW w:w="3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pageBreakBefore/>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19. No finanšu nomas izrietošas prasības (turpinājums)</w:t>
            </w: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4200" w:type="dxa"/>
            <w:gridSpan w:val="4"/>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vērtības samazinājumam</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420"/>
        </w:trPr>
        <w:tc>
          <w:tcPr>
            <w:tcW w:w="3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Uzkrājumi zaudējumiem no finanšu nomas izrietošo prasību vērtības samazināšanās</w:t>
            </w:r>
          </w:p>
        </w:tc>
        <w:tc>
          <w:tcPr>
            <w:tcW w:w="4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stadija</w:t>
            </w:r>
          </w:p>
        </w:tc>
        <w:tc>
          <w:tcPr>
            <w:tcW w:w="4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49,544</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47,606</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stadija</w:t>
            </w: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38,519</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41,811</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 stadija</w:t>
            </w:r>
          </w:p>
        </w:tc>
        <w:tc>
          <w:tcPr>
            <w:tcW w:w="4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306,256</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78%</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654,012</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gridSpan w:val="2"/>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UZKRĀJUMI KOPĀ:</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394,318</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100%</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743,429</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vērtības samazinājumam</w:t>
            </w:r>
          </w:p>
        </w:tc>
        <w:tc>
          <w:tcPr>
            <w:tcW w:w="2100" w:type="dxa"/>
            <w:gridSpan w:val="2"/>
            <w:vMerge w:val="restart"/>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Izmaiņas perioda laikā</w:t>
            </w:r>
          </w:p>
        </w:tc>
        <w:tc>
          <w:tcPr>
            <w:tcW w:w="105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vērtības samazinājumam</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2100" w:type="dxa"/>
            <w:gridSpan w:val="2"/>
            <w:vMerge/>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Uzkrājumi zaudējumiem no finanšu nomas izrietošo prasību vērtības samazināšanās</w:t>
            </w:r>
          </w:p>
        </w:tc>
        <w:tc>
          <w:tcPr>
            <w:tcW w:w="4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stadija</w:t>
            </w:r>
          </w:p>
        </w:tc>
        <w:tc>
          <w:tcPr>
            <w:tcW w:w="4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49,544</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1,938</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47,606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stadija</w:t>
            </w: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38,519</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(3,292)</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41,811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 stadija</w:t>
            </w:r>
          </w:p>
        </w:tc>
        <w:tc>
          <w:tcPr>
            <w:tcW w:w="4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306,256</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(347,756)</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-53%</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654,012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500" w:type="dxa"/>
            <w:gridSpan w:val="2"/>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UZKRĀJUMI KOPĀ:</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394,318</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(349,111)</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-47%</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743,429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Minimālie nomas maksājumi</w:t>
            </w:r>
          </w:p>
        </w:tc>
        <w:tc>
          <w:tcPr>
            <w:tcW w:w="105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Minimālo nomas maksājumu pašreizējā vērtība</w:t>
            </w:r>
          </w:p>
        </w:tc>
        <w:tc>
          <w:tcPr>
            <w:tcW w:w="105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Minimālie nomas maksājumi</w:t>
            </w:r>
          </w:p>
        </w:tc>
        <w:tc>
          <w:tcPr>
            <w:tcW w:w="105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Minimālo nomas                       maksājumu pašreizējā                  vērtība</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No finanšu nomas izrietošas prasības</w:t>
            </w:r>
          </w:p>
        </w:tc>
        <w:tc>
          <w:tcPr>
            <w:tcW w:w="4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Līdz 1 gadam</w:t>
            </w:r>
          </w:p>
        </w:tc>
        <w:tc>
          <w:tcPr>
            <w:tcW w:w="4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1,452,080</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789,066</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2,417,908</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1,551,062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 2 līdz 5 gadiem kopā</w:t>
            </w: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3,035,507</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1,469,936</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3,145,113</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1,983,123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Ilgāk kā 5 gadi</w:t>
            </w:r>
          </w:p>
        </w:tc>
        <w:tc>
          <w:tcPr>
            <w:tcW w:w="4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863,037</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701,438</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197,081</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155,709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2E6D"/>
                <w:sz w:val="16"/>
                <w:u w:val="none"/>
                <w:vertAlign w:val="baseline"/>
              </w:rPr>
            </w:pPr>
          </w:p>
        </w:tc>
        <w:tc>
          <w:tcPr>
            <w:tcW w:w="1500" w:type="dxa"/>
            <w:gridSpan w:val="2"/>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BRUTO:</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5,350,624</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2,960,440</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5,760,102</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3,689,894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both"/>
              <w:rPr>
                <w:rFonts w:ascii="Arial Narrow" w:eastAsia="Arial Narrow" w:hAnsi="Arial Narrow" w:cs="Arial Narrow"/>
                <w:b/>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both"/>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2E6D"/>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Nenopelnītie finanšu ienākumi</w:t>
            </w:r>
          </w:p>
        </w:tc>
        <w:tc>
          <w:tcPr>
            <w:tcW w:w="4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Līdz 1 gadam</w:t>
            </w:r>
          </w:p>
        </w:tc>
        <w:tc>
          <w:tcPr>
            <w:tcW w:w="4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663,014</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866,846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 2 līdz 5 gadiem kopā</w:t>
            </w:r>
          </w:p>
        </w:tc>
        <w:tc>
          <w:tcPr>
            <w:tcW w:w="4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1,565,571</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1,161,990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Ilgāk kā 5 gadi</w:t>
            </w:r>
          </w:p>
        </w:tc>
        <w:tc>
          <w:tcPr>
            <w:tcW w:w="4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161,599</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41,372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2E6D"/>
                <w:sz w:val="16"/>
                <w:u w:val="none"/>
                <w:vertAlign w:val="baseline"/>
              </w:rPr>
            </w:pPr>
          </w:p>
        </w:tc>
        <w:tc>
          <w:tcPr>
            <w:tcW w:w="2100" w:type="dxa"/>
            <w:gridSpan w:val="2"/>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BRUTO:</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2,390,184</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2,070,208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No finanšu nomas izrietošas prasības</w:t>
            </w:r>
          </w:p>
        </w:tc>
        <w:tc>
          <w:tcPr>
            <w:tcW w:w="4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 finanšu nomas izrietošas ilgtermiņa prasības</w:t>
            </w:r>
          </w:p>
        </w:tc>
        <w:tc>
          <w:tcPr>
            <w:tcW w:w="4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2,171,376</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2,138,832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 finanšu nomas izrietošas īstermiņa prasības</w:t>
            </w: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730,687</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1,449,159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Uzkrātie procenti</w:t>
            </w:r>
          </w:p>
        </w:tc>
        <w:tc>
          <w:tcPr>
            <w:tcW w:w="4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58,377</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101,903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2100" w:type="dxa"/>
            <w:gridSpan w:val="2"/>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BRUTO:</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2,960,440</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3,689,894</w:t>
            </w:r>
          </w:p>
        </w:tc>
      </w:tr>
    </w:tbl>
    <w:tbl>
      <w:tblPr>
        <w:tblStyle w:val="CDMRange1"/>
        <w:tblW w:w="9600" w:type="dxa"/>
        <w:tblLayout w:type="fixed"/>
        <w:tblLook w:val="0600"/>
      </w:tblPr>
      <w:tblGrid>
        <w:gridCol w:w="3900"/>
        <w:gridCol w:w="450"/>
        <w:gridCol w:w="1050"/>
        <w:gridCol w:w="1050"/>
        <w:gridCol w:w="1050"/>
        <w:gridCol w:w="1050"/>
        <w:gridCol w:w="1050"/>
      </w:tblGrid>
      <w:tr>
        <w:tblPrEx>
          <w:tblW w:w="9600" w:type="dxa"/>
          <w:tblLayout w:type="fixed"/>
          <w:tblLook w:val="0600"/>
        </w:tblPrEx>
        <w:trPr>
          <w:trHeight w:val="255"/>
        </w:trPr>
        <w:tc>
          <w:tcPr>
            <w:tcW w:w="3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pageBreakBefore/>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19. No finanšu nomas izrietošas prasības (turpinājums)</w:t>
            </w: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Izmaiņas uzkrājumos zaudējumiem no vērtības samazināšanās</w:t>
            </w:r>
          </w:p>
        </w:tc>
        <w:tc>
          <w:tcPr>
            <w:tcW w:w="4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vērtības samazinājumam 01. janvārī</w:t>
            </w:r>
          </w:p>
        </w:tc>
        <w:tc>
          <w:tcPr>
            <w:tcW w:w="4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743,429</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943,941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Pārskata gadā atzītie zaudējumi no vērtības samazināšanās</w:t>
            </w:r>
          </w:p>
        </w:tc>
        <w:tc>
          <w:tcPr>
            <w:tcW w:w="4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89,211</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177,739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Atcelti uzkrājumi vērtības samazinājumam debitoru parādu cedēšanas dēļ</w:t>
            </w:r>
          </w:p>
        </w:tc>
        <w:tc>
          <w:tcPr>
            <w:tcW w:w="4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(438,322)</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(378,251)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Uzkrājumi vērtības samazinājumam 31. decembrī</w:t>
            </w:r>
          </w:p>
        </w:tc>
        <w:tc>
          <w:tcPr>
            <w:tcW w:w="4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2100" w:type="dxa"/>
            <w:gridSpan w:val="2"/>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394,318</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743,429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10"/>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 xml:space="preserve">Ilgtermiņa </w:t>
            </w: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Īstermiņa</w:t>
            </w: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 xml:space="preserve">Ilgtermiņa </w:t>
            </w: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Īstermiņa</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No finanšu nomas izrietošās prasības, neto</w:t>
            </w:r>
          </w:p>
        </w:tc>
        <w:tc>
          <w:tcPr>
            <w:tcW w:w="4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 finanšu nomas izrietošas prasības</w:t>
            </w:r>
          </w:p>
        </w:tc>
        <w:tc>
          <w:tcPr>
            <w:tcW w:w="4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2,171,377</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730,687</w:t>
            </w:r>
          </w:p>
        </w:tc>
        <w:tc>
          <w:tcPr>
            <w:tcW w:w="105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2,138,832</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1,449,159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 xml:space="preserve">Uzkrātie procenti </w:t>
            </w: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58,377</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101,903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Pie nomas normēšanas samaksātas un saņemtas komisijas maksas</w:t>
            </w: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(74,034)</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(24,912)</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(44,320)</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(30,029)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vērtības samazinājumam</w:t>
            </w:r>
          </w:p>
        </w:tc>
        <w:tc>
          <w:tcPr>
            <w:tcW w:w="4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(92,480)</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(301,838)</w:t>
            </w:r>
          </w:p>
        </w:tc>
        <w:tc>
          <w:tcPr>
            <w:tcW w:w="105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(94,747)</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(648,682)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2,004,863</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462,314</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1,999,765</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872,351</w:t>
            </w:r>
          </w:p>
        </w:tc>
      </w:tr>
    </w:tbl>
    <w:p/>
    <w:p w:rsidR="00C91CF3" w:rsidRPr="00C91CF3" w:rsidP="007572FD" w14:paraId="2E364A05" w14:textId="77777777">
      <w:pPr>
        <w:spacing w:line="360" w:lineRule="auto"/>
        <w:jc w:val="both"/>
        <w:rPr>
          <w:rFonts w:ascii="Arial Narrow" w:eastAsia="Arial Narrow" w:hAnsi="Arial Narrow" w:cs="Arial Narrow"/>
          <w:sz w:val="16"/>
          <w:szCs w:val="16"/>
          <w:lang w:val="lv-LV"/>
        </w:rPr>
      </w:pPr>
      <w:bookmarkStart w:id="1182" w:name="RG_MARKER_6635"/>
      <w:r w:rsidRPr="00C91CF3">
        <w:rPr>
          <w:rFonts w:ascii="Arial Narrow" w:eastAsia="Arial Narrow" w:hAnsi="Arial Narrow" w:cs="Arial Narrow"/>
          <w:sz w:val="16"/>
          <w:szCs w:val="16"/>
          <w:lang w:val="lv-LV"/>
        </w:rPr>
        <w:t>2021. gada 31. decembrī daļa no bruto finanšu nomas portfeļa EUR  237 017  apmērā tika ieķīlāta par labu AS “Citadele banka” kā nodrošinājums izsniegtajai kredītlīnijai (2020. gada 31. decembrī: EUR 324 595).</w:t>
      </w:r>
      <w:bookmarkEnd w:id="1182"/>
    </w:p>
    <w:p w:rsidR="001F32D7" w:rsidRPr="00C91CF3" w:rsidP="007572FD" w14:paraId="352FC144" w14:textId="25CC6B1F">
      <w:pPr>
        <w:spacing w:line="360" w:lineRule="auto"/>
        <w:jc w:val="both"/>
        <w:rPr>
          <w:rFonts w:ascii="Arial Narrow" w:eastAsia="Arial Narrow" w:hAnsi="Arial Narrow" w:cs="Arial Narrow"/>
          <w:i/>
          <w:iCs/>
          <w:sz w:val="16"/>
          <w:szCs w:val="16"/>
          <w:lang w:val="lv-LV"/>
        </w:rPr>
      </w:pPr>
      <w:r w:rsidRPr="00C91CF3">
        <w:rPr>
          <w:rFonts w:ascii="Arial Narrow" w:eastAsia="Arial Narrow" w:hAnsi="Arial Narrow" w:cs="Arial Narrow"/>
          <w:i/>
          <w:iCs/>
          <w:sz w:val="16"/>
          <w:szCs w:val="16"/>
          <w:lang w:val="lv-LV"/>
        </w:rPr>
        <w:t>Darījumi ar savstarpējās kreditēšanas platformām</w:t>
      </w:r>
    </w:p>
    <w:p w:rsidR="001F32D7" w:rsidRPr="00C91CF3" w:rsidP="00326750" w14:paraId="5762D11D" w14:textId="0351F3ED">
      <w:pPr>
        <w:spacing w:line="360" w:lineRule="auto"/>
        <w:jc w:val="both"/>
        <w:rPr>
          <w:rFonts w:ascii="Arial Narrow" w:eastAsia="Arial Narrow" w:hAnsi="Arial Narrow" w:cs="Arial Narrow"/>
          <w:b/>
          <w:bCs/>
          <w:sz w:val="16"/>
          <w:szCs w:val="16"/>
          <w:lang w:val="lv-LV"/>
        </w:rPr>
      </w:pPr>
      <w:r w:rsidRPr="00C91CF3">
        <w:rPr>
          <w:rFonts w:ascii="Arial Narrow" w:eastAsia="Arial Narrow" w:hAnsi="Arial Narrow" w:cs="Arial Narrow"/>
          <w:sz w:val="16"/>
          <w:szCs w:val="16"/>
          <w:lang w:val="lv-LV"/>
        </w:rPr>
        <w:t xml:space="preserve">Līgumos ir paredzēta atpirkšanas garantija, kas nozīmē, ka visus šādu līgumu riskus saglabā Koncerns, </w:t>
      </w:r>
      <w:r w:rsidRPr="00C91CF3">
        <w:rPr>
          <w:rFonts w:ascii="Arial Narrow" w:eastAsia="Arial Narrow" w:hAnsi="Arial Narrow" w:cs="Arial Narrow"/>
          <w:sz w:val="16"/>
          <w:szCs w:val="16"/>
          <w:lang w:val="lv-LV"/>
        </w:rPr>
        <w:t>un klienta saistību neizpildes gadījumā Koncernam ir pienākums atmaksāt P2P investoram visu atlikušo pamatsummu un uzkrātos procentus. Šajā pašā platformā Koncerns piedāvā arī kredītus bez atpirkšanas garantijas, kas nozīmē, ka visus riskus, kas saistīti a</w:t>
      </w:r>
      <w:r w:rsidRPr="00C91CF3">
        <w:rPr>
          <w:rFonts w:ascii="Arial Narrow" w:eastAsia="Arial Narrow" w:hAnsi="Arial Narrow" w:cs="Arial Narrow"/>
          <w:sz w:val="16"/>
          <w:szCs w:val="16"/>
          <w:lang w:val="lv-LV"/>
        </w:rPr>
        <w:t>r klienta saistību neizpildi, uzņemas pats P2P investors. Tādējādi daļa no investoru iegādātajiem līgumiem tiek uzskatīta par finanšu aktīviem</w:t>
      </w:r>
      <w:r w:rsidRPr="00C91CF3">
        <w:rPr>
          <w:rFonts w:ascii="Arial Narrow" w:eastAsia="Arial Narrow" w:hAnsi="Arial Narrow" w:cs="Arial Narrow"/>
          <w:sz w:val="16"/>
          <w:szCs w:val="16"/>
          <w:lang w:val="lv-LV"/>
        </w:rPr>
        <w:t>, kuru atzīšana Koncerna finanšu stāvokļa pārskatā varētu tikt pārtraukta.</w:t>
      </w:r>
    </w:p>
    <w:p w:rsidR="00522739" w:rsidRPr="00C91CF3" w:rsidP="001F32D7" w14:textId="5FCAB368">
      <w:pPr>
        <w:rPr>
          <w:rFonts w:ascii="Arial Narrow" w:eastAsia="Arial Narrow" w:hAnsi="Arial Narrow" w:cs="Arial Narrow"/>
          <w:sz w:val="16"/>
          <w:szCs w:val="16"/>
          <w:lang w:val="lv-LV"/>
        </w:rPr>
      </w:pPr>
      <w:r w:rsidRPr="00C91CF3">
        <w:rPr>
          <w:rFonts w:ascii="Arial Narrow" w:eastAsia="Arial Narrow" w:hAnsi="Arial Narrow" w:cs="Arial Narrow"/>
          <w:sz w:val="16"/>
          <w:szCs w:val="16"/>
          <w:lang w:val="lv-LV"/>
        </w:rPr>
        <w:t>Kopējais bruto portfelis un saistības par portfeli, kura atzīšana Koncerna finanšu aktīvu sastāvā ir pārtraukta</w:t>
      </w:r>
      <w:r w:rsidRPr="00C91CF3">
        <w:rPr>
          <w:rFonts w:ascii="Arial Narrow" w:eastAsia="Arial Narrow" w:hAnsi="Arial Narrow" w:cs="Arial Narrow"/>
          <w:sz w:val="16"/>
          <w:szCs w:val="16"/>
          <w:lang w:val="lv-LV"/>
        </w:rPr>
        <w:t>, ir:</w:t>
      </w:r>
    </w:p>
    <w:tbl>
      <w:tblPr>
        <w:tblStyle w:val="CDMRange2"/>
        <w:tblW w:w="9600" w:type="dxa"/>
        <w:tblLayout w:type="fixed"/>
        <w:tblLook w:val="0600"/>
      </w:tblPr>
      <w:tblGrid>
        <w:gridCol w:w="3900"/>
        <w:gridCol w:w="450"/>
        <w:gridCol w:w="1050"/>
        <w:gridCol w:w="1050"/>
        <w:gridCol w:w="1050"/>
        <w:gridCol w:w="1050"/>
        <w:gridCol w:w="1050"/>
      </w:tblGrid>
      <w:tr>
        <w:tblPrEx>
          <w:tblW w:w="9600" w:type="dxa"/>
          <w:tblLayout w:type="fixed"/>
          <w:tblLook w:val="0600"/>
        </w:tblPrEx>
        <w:trPr>
          <w:trHeigh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Ilgtermiņa</w:t>
            </w:r>
          </w:p>
        </w:tc>
        <w:tc>
          <w:tcPr>
            <w:tcW w:w="4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 finanšu nomas izrietošas prasības</w:t>
            </w:r>
          </w:p>
        </w:tc>
        <w:tc>
          <w:tcPr>
            <w:tcW w:w="4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5,596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Citas saistības</w:t>
            </w:r>
          </w:p>
        </w:tc>
        <w:tc>
          <w:tcPr>
            <w:tcW w:w="4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(5,596)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2100" w:type="dxa"/>
            <w:gridSpan w:val="2"/>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NETO POZĪCIJA:</w:t>
            </w:r>
          </w:p>
        </w:tc>
        <w:tc>
          <w:tcPr>
            <w:tcW w:w="1050" w:type="dxa"/>
            <w:tcBorders>
              <w:top w:val="single" w:sz="4" w:space="0" w:color="000000"/>
              <w:left w:val="nil"/>
              <w:bottom w:val="double" w:sz="6"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1050" w:type="dxa"/>
            <w:tcBorders>
              <w:top w:val="single" w:sz="4" w:space="0" w:color="000000"/>
              <w:left w:val="nil"/>
              <w:bottom w:val="double" w:sz="6"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Īstermiņa</w:t>
            </w:r>
          </w:p>
        </w:tc>
        <w:tc>
          <w:tcPr>
            <w:tcW w:w="4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 finanšu nomas izrietošas prasības</w:t>
            </w:r>
          </w:p>
        </w:tc>
        <w:tc>
          <w:tcPr>
            <w:tcW w:w="4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4,058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Citas saistības</w:t>
            </w:r>
          </w:p>
        </w:tc>
        <w:tc>
          <w:tcPr>
            <w:tcW w:w="4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(4,058)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4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2100" w:type="dxa"/>
            <w:gridSpan w:val="2"/>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NETO POZĪCIJA:</w:t>
            </w:r>
          </w:p>
        </w:tc>
        <w:tc>
          <w:tcPr>
            <w:tcW w:w="1050" w:type="dxa"/>
            <w:tcBorders>
              <w:top w:val="single" w:sz="4" w:space="0" w:color="000000"/>
              <w:left w:val="nil"/>
              <w:bottom w:val="double" w:sz="6"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1050" w:type="dxa"/>
            <w:tcBorders>
              <w:top w:val="single" w:sz="4" w:space="0" w:color="000000"/>
              <w:left w:val="nil"/>
              <w:bottom w:val="double" w:sz="6"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Kopējais bruto portfelis, kura atzīšana Koncerna finanšu aktīvu sastāvā ir pārtraukta</w:t>
            </w:r>
          </w:p>
        </w:tc>
        <w:tc>
          <w:tcPr>
            <w:tcW w:w="4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9,654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3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Kopā citas saistības</w:t>
            </w:r>
          </w:p>
        </w:tc>
        <w:tc>
          <w:tcPr>
            <w:tcW w:w="4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(9,654)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3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2100" w:type="dxa"/>
            <w:gridSpan w:val="2"/>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NETO POZĪCIJA:</w:t>
            </w:r>
          </w:p>
        </w:tc>
        <w:tc>
          <w:tcPr>
            <w:tcW w:w="1050" w:type="dxa"/>
            <w:tcBorders>
              <w:top w:val="single" w:sz="4" w:space="0" w:color="000000"/>
              <w:left w:val="nil"/>
              <w:bottom w:val="double" w:sz="6"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1050" w:type="dxa"/>
            <w:tcBorders>
              <w:top w:val="single" w:sz="4" w:space="0" w:color="000000"/>
              <w:left w:val="nil"/>
              <w:bottom w:val="double" w:sz="6"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r>
    </w:tbl>
    <w:p/>
    <w:p w:rsidR="00522739" w:rsidRPr="00663534" w:rsidP="00663534" w14:textId="7D772EE0">
      <w:pPr>
        <w:rPr>
          <w:rFonts w:ascii="Arial Narrow" w:eastAsia="Arial Narrow" w:hAnsi="Arial Narrow" w:cs="Arial Narrow"/>
          <w:lang w:val="lv-LV"/>
        </w:rPr>
      </w:pPr>
      <w:bookmarkStart w:id="1183" w:name="RG_MARKER_6639"/>
      <w:r w:rsidRPr="001C6C9F">
        <w:rPr>
          <w:rFonts w:ascii="Arial Narrow" w:eastAsia="Arial Narrow" w:hAnsi="Arial Narrow" w:cs="Arial Narrow"/>
          <w:sz w:val="16"/>
          <w:szCs w:val="16"/>
          <w:lang w:val="lv-LV"/>
        </w:rPr>
        <w:t>Pārskata gada beigās nebija pārdots bruto portfelis savstarpējās kreditēšanas plaformas investoriem bez atpakaļpirkuma garantijas</w:t>
      </w:r>
      <w:bookmarkEnd w:id="1183"/>
      <w:r>
        <w:rPr>
          <w:rFonts w:ascii="Arial Narrow" w:eastAsia="Arial Narrow" w:hAnsi="Arial Narrow" w:cs="Arial Narrow"/>
          <w:sz w:val="16"/>
          <w:szCs w:val="16"/>
          <w:lang w:val="lv-LV"/>
        </w:rPr>
        <w:t xml:space="preserve"> </w:t>
      </w:r>
      <w:r w:rsidRPr="00663534">
        <w:rPr>
          <w:rFonts w:ascii="Arial Narrow" w:eastAsia="Arial Narrow" w:hAnsi="Arial Narrow" w:cs="Arial Narrow"/>
          <w:sz w:val="16"/>
          <w:szCs w:val="16"/>
          <w:lang w:val="lv-LV"/>
        </w:rPr>
        <w:t>(2020. gadā 0,3%).</w:t>
      </w:r>
    </w:p>
    <w:p w:rsidR="00894B25" w:rsidRPr="001F5954" w:rsidP="001F5954" w14:paraId="03626A4C" w14:textId="32937F72">
      <w:pPr>
        <w:pageBreakBefore/>
        <w:spacing w:line="360" w:lineRule="auto"/>
        <w:jc w:val="both"/>
        <w:rPr>
          <w:rFonts w:ascii="Arial Narrow" w:eastAsia="Arial Narrow" w:hAnsi="Arial Narrow" w:cs="Arial Narrow"/>
          <w:sz w:val="16"/>
          <w:szCs w:val="16"/>
        </w:rPr>
      </w:pPr>
      <w:bookmarkStart w:id="1184" w:name="RG_MARKER_6640"/>
      <w:bookmarkStart w:id="1185" w:name="RG_MARKER_6443"/>
      <w:r w:rsidRPr="00F377E1">
        <w:rPr>
          <w:rFonts w:ascii="Arial Narrow" w:eastAsia="Arial Narrow" w:hAnsi="Arial Narrow" w:cs="Arial Narrow"/>
          <w:b/>
          <w:bCs/>
          <w:sz w:val="16"/>
          <w:szCs w:val="16"/>
        </w:rPr>
        <w:t>20</w:t>
      </w:r>
      <w:bookmarkEnd w:id="1185"/>
      <w:bookmarkEnd w:id="1184"/>
      <w:r w:rsidRPr="001F5954">
        <w:rPr>
          <w:rFonts w:ascii="Arial Narrow" w:eastAsia="Arial Narrow" w:hAnsi="Arial Narrow" w:cs="Arial Narrow"/>
          <w:b/>
          <w:bCs/>
          <w:sz w:val="16"/>
          <w:szCs w:val="16"/>
        </w:rPr>
        <w:t>. Kredīti un izsniegtie avansi</w:t>
      </w:r>
    </w:p>
    <w:p w:rsidR="00522739" w:rsidRPr="001F5954" w:rsidP="001F5954" w14:textId="0AF9C95C">
      <w:pPr>
        <w:spacing w:line="360" w:lineRule="auto"/>
        <w:jc w:val="both"/>
        <w:rPr>
          <w:rFonts w:ascii="Arial Narrow" w:eastAsia="Arial Narrow" w:hAnsi="Arial Narrow" w:cs="Arial Narrow"/>
          <w:sz w:val="16"/>
          <w:szCs w:val="16"/>
        </w:rPr>
      </w:pPr>
      <w:r w:rsidRPr="001F5954">
        <w:rPr>
          <w:rFonts w:ascii="Arial Narrow" w:eastAsia="Arial Narrow" w:hAnsi="Arial Narrow" w:cs="Arial Narrow"/>
          <w:sz w:val="16"/>
          <w:szCs w:val="16"/>
        </w:rPr>
        <w:t xml:space="preserve">Tabulā ir atspoguļota kredītkvalitāte un maksimālais kredītrisks saskaņā ar Koncerna iekšējo kredītreitinga sistēmu un iedalījumu stadijās gada beigās. Uzrādītās summas ietver uzkrājumus vērtības </w:t>
      </w:r>
      <w:r w:rsidRPr="001F5954">
        <w:rPr>
          <w:rFonts w:ascii="Arial Narrow" w:eastAsia="Arial Narrow" w:hAnsi="Arial Narrow" w:cs="Arial Narrow"/>
          <w:sz w:val="16"/>
          <w:szCs w:val="16"/>
        </w:rPr>
        <w:t>samazinājumam.</w:t>
      </w:r>
    </w:p>
    <w:tbl>
      <w:tblPr>
        <w:tblStyle w:val="CDMRange1"/>
        <w:tblW w:w="9600" w:type="dxa"/>
        <w:tblLayout w:type="fixed"/>
        <w:tblLook w:val="0600"/>
      </w:tblPr>
      <w:tblGrid>
        <w:gridCol w:w="4350"/>
        <w:gridCol w:w="1050"/>
        <w:gridCol w:w="1050"/>
        <w:gridCol w:w="1050"/>
        <w:gridCol w:w="1050"/>
        <w:gridCol w:w="1050"/>
      </w:tblGrid>
      <w:tr>
        <w:tblPrEx>
          <w:tblW w:w="9600" w:type="dxa"/>
          <w:tblLayout w:type="fixed"/>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200" w:type="dxa"/>
            <w:gridSpan w:val="4"/>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Kredīti un izsniegtie avansi</w:t>
            </w:r>
          </w:p>
        </w:tc>
        <w:tc>
          <w:tcPr>
            <w:tcW w:w="1050"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stadija</w:t>
            </w:r>
          </w:p>
        </w:tc>
        <w:tc>
          <w:tcPr>
            <w:tcW w:w="1050"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stadija</w:t>
            </w:r>
          </w:p>
        </w:tc>
        <w:tc>
          <w:tcPr>
            <w:tcW w:w="1050"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 stadija</w:t>
            </w:r>
          </w:p>
        </w:tc>
        <w:tc>
          <w:tcPr>
            <w:tcW w:w="1050"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KOPĀ</w:t>
            </w:r>
          </w:p>
        </w:tc>
        <w:tc>
          <w:tcPr>
            <w:tcW w:w="1050"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KOPĀ</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Nav kavēti</w:t>
            </w:r>
          </w:p>
        </w:tc>
        <w:tc>
          <w:tcPr>
            <w:tcW w:w="105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2,676,342</w:t>
            </w:r>
          </w:p>
        </w:tc>
        <w:tc>
          <w:tcPr>
            <w:tcW w:w="105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129,933</w:t>
            </w:r>
          </w:p>
        </w:tc>
        <w:tc>
          <w:tcPr>
            <w:tcW w:w="105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118,118</w:t>
            </w:r>
          </w:p>
        </w:tc>
        <w:tc>
          <w:tcPr>
            <w:tcW w:w="105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2,924,394</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7,565,810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1-30</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483,220</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146,719</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38,304</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668,243</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1,732,243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31-60</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71,938</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9,489</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81,428</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368,979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&gt;60</w:t>
            </w:r>
          </w:p>
        </w:tc>
        <w:tc>
          <w:tcPr>
            <w:tcW w:w="105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656,827</w:t>
            </w:r>
          </w:p>
        </w:tc>
        <w:tc>
          <w:tcPr>
            <w:tcW w:w="105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656,827</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1,713,889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BRUTO:</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3,159,562</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348,591</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822,739</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4,330,891</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11,380,921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10"/>
        </w:trPr>
        <w:tc>
          <w:tcPr>
            <w:tcW w:w="9600" w:type="dxa"/>
            <w:gridSpan w:val="6"/>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Izmaiņas kredītu un izsniegto avansu bruto uzskaites vērtībā un atbilstošajos ECL uzkrājumos ir šādas:</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200" w:type="dxa"/>
            <w:gridSpan w:val="4"/>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Kredīti un izsniegtie avansi</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3.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Kopā</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Atlikums 2021. gada 1. janvārī </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8,311,441</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999,138</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2,070,342</w:t>
            </w:r>
          </w:p>
        </w:tc>
        <w:tc>
          <w:tcPr>
            <w:tcW w:w="105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11,380,921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1.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427,654</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(317,909)</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(109,746)</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2.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(175,972)</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204,977</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(29,005)</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3.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(168,886)</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(158,785)</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327,671</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Iegādāti jauni finanšu aktīvi</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1,116,793</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33,539</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40,745</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1,191,077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Nokārtoti debitoru parādi</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(814,182)</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(93,939)</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(40,886)</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(949,007)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Norakstīti debitoru parādi</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(5,013,229)</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(252,351)</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(1,252,682)</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(6,518,262)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Daļēji nokārtoti debitoru parādi</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(524,058)</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(66,079)</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(183,701)</w:t>
            </w:r>
          </w:p>
        </w:tc>
        <w:tc>
          <w:tcPr>
            <w:tcW w:w="105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(773,838)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Atlikums 2021. gada 31. decembrī</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3,159,562</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348,591</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822,739</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4,330,891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200" w:type="dxa"/>
            <w:gridSpan w:val="4"/>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Kredīti un izsniegtie avansi</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3.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Kopā</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Atlikums 2020. gada 1. janvārī </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16,263,860</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1,583,838</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2,264,216</w:t>
            </w:r>
          </w:p>
        </w:tc>
        <w:tc>
          <w:tcPr>
            <w:tcW w:w="105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20,111,914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1.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443,158</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(381,254)</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(61,904)</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2.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(731,461)</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757,670</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(26,209)</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3.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(839,788)</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(332,186)</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1,171,974</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Iegādāti jauni finanšu aktīvi</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1,114,243</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41,745</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81,453</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1,237,441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Nokārtoti debitoru parādi</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(2,093,092)</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(151,673)</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(116,746)</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(2,361,511)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Norakstīti debitoru parādi</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(4,429,680)</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(348,866)</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(778,672)</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(5,557,218)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Daļēji nokārtoti debitoru parādi</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(1,415,799)</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(170,136)</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(463,770)</w:t>
            </w:r>
          </w:p>
        </w:tc>
        <w:tc>
          <w:tcPr>
            <w:tcW w:w="105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(2,049,705)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 xml:space="preserve">Atlikums 2020. gada 31. decembrī </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8,311,441</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999,138</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2,070,342</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11,380,921</w:t>
            </w:r>
          </w:p>
        </w:tc>
      </w:tr>
    </w:tbl>
    <w:p/>
    <w:p w:rsidR="009F7F22" w:rsidRPr="00497B83" w:rsidP="00497B83" w14:paraId="3C538B5A" w14:textId="29AAA71F">
      <w:pPr>
        <w:spacing w:line="360" w:lineRule="auto"/>
        <w:jc w:val="both"/>
        <w:rPr>
          <w:rFonts w:ascii="Arial Narrow" w:eastAsia="Arial Narrow" w:hAnsi="Arial Narrow" w:cs="Arial Narrow"/>
          <w:sz w:val="16"/>
          <w:szCs w:val="16"/>
        </w:rPr>
      </w:pPr>
      <w:bookmarkStart w:id="1186" w:name="RG_MARKER_6641"/>
      <w:r w:rsidRPr="00497B83">
        <w:rPr>
          <w:rFonts w:ascii="Arial Narrow" w:eastAsia="Arial Narrow" w:hAnsi="Arial Narrow" w:cs="Arial Narrow"/>
          <w:sz w:val="16"/>
          <w:szCs w:val="16"/>
        </w:rPr>
        <w:t>Pārcelšana starp dažādām stadijām atspoguļo gada laikā notikušās izmaiņas finanšu aktīvos, kuri slēguma bilances datumā ir citā stadijā nekā sākuma bilances datumā. Pārcelšana starp stadijām tiek veikta, balstoties uz sākuma atlikumiem.</w:t>
      </w:r>
      <w:bookmarkEnd w:id="1186"/>
    </w:p>
    <w:p w:rsidR="009F7F22" w:rsidRPr="00497B83" w:rsidP="00497B83" w14:paraId="1E2C093E" w14:textId="12DA1DBE">
      <w:pPr>
        <w:spacing w:line="360" w:lineRule="auto"/>
        <w:jc w:val="both"/>
        <w:rPr>
          <w:rFonts w:ascii="Arial Narrow" w:eastAsia="Arial Narrow" w:hAnsi="Arial Narrow" w:cs="Arial Narrow"/>
          <w:sz w:val="16"/>
          <w:szCs w:val="16"/>
        </w:rPr>
      </w:pPr>
      <w:r w:rsidRPr="00497B83">
        <w:rPr>
          <w:rFonts w:ascii="Arial Narrow" w:eastAsia="Arial Narrow" w:hAnsi="Arial Narrow" w:cs="Arial Narrow"/>
          <w:sz w:val="16"/>
          <w:szCs w:val="16"/>
        </w:rPr>
        <w:t xml:space="preserve">Debitoru </w:t>
      </w:r>
      <w:r w:rsidRPr="00497B83">
        <w:rPr>
          <w:rFonts w:ascii="Arial Narrow" w:eastAsia="Arial Narrow" w:hAnsi="Arial Narrow" w:cs="Arial Narrow"/>
          <w:sz w:val="16"/>
          <w:szCs w:val="16"/>
        </w:rPr>
        <w:t>parādi, kas tiek daļēji nokārtoti brīdī, kad aktīvs tiek pārcelts uz citu stadiju, tiek uzskaitīti tajā stadijā, uz kuru aktīvs tiek pārcelts. Tas ir periods līdz datumam, kad no finanšu nomas izrietošās prasības tiek pārceltas uz konkrēto stadiju.</w:t>
      </w:r>
    </w:p>
    <w:p w:rsidR="009F7F22" w:rsidP="009F7F22" w14:paraId="7092ACA6" w14:textId="77777777">
      <w:pPr>
        <w:rPr>
          <w:rFonts w:ascii="Arial Narrow" w:eastAsia="Arial Narrow" w:hAnsi="Arial Narrow" w:cs="Arial Narrow"/>
          <w:b/>
          <w:bCs/>
          <w:sz w:val="14"/>
          <w:szCs w:val="14"/>
        </w:rPr>
        <w:sectPr>
          <w:headerReference w:type="even" r:id="rId186"/>
          <w:headerReference w:type="default" r:id="rId187"/>
          <w:footerReference w:type="even" r:id="rId188"/>
          <w:footerReference w:type="default" r:id="rId189"/>
          <w:headerReference w:type="first" r:id="rId190"/>
          <w:footerReference w:type="first" r:id="rId191"/>
          <w:type w:val="continuous"/>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sectPr>
      </w:pPr>
    </w:p>
    <w:p w:rsidR="00522739" w:rsidRPr="003B35F5" w:rsidP="009F7F22" w14:textId="7B0AC634">
      <w:pPr>
        <w:rPr>
          <w:rFonts w:ascii="Arial Narrow" w:eastAsia="Arial Narrow" w:hAnsi="Arial Narrow" w:cs="Arial Narrow"/>
          <w:b/>
          <w:bCs/>
          <w:sz w:val="16"/>
          <w:szCs w:val="16"/>
        </w:rPr>
      </w:pPr>
      <w:r w:rsidRPr="00EC3E35">
        <w:rPr>
          <w:rFonts w:ascii="Arial Narrow" w:eastAsia="Arial Narrow" w:hAnsi="Arial Narrow" w:cs="Arial Narrow"/>
          <w:b/>
          <w:bCs/>
          <w:sz w:val="16"/>
          <w:szCs w:val="16"/>
        </w:rPr>
        <w:t>20</w:t>
      </w:r>
      <w:r w:rsidRPr="003B35F5">
        <w:rPr>
          <w:rFonts w:ascii="Arial Narrow" w:eastAsia="Arial Narrow" w:hAnsi="Arial Narrow" w:cs="Arial Narrow"/>
          <w:b/>
          <w:bCs/>
          <w:sz w:val="16"/>
          <w:szCs w:val="16"/>
        </w:rPr>
        <w:t>. Kredīti un izsniegti avansi (turpinājums)</w:t>
      </w:r>
    </w:p>
    <w:tbl>
      <w:tblPr>
        <w:tblStyle w:val="CDMRange2"/>
        <w:tblW w:w="9600" w:type="dxa"/>
        <w:tblLayout w:type="fixed"/>
        <w:tblLook w:val="0600"/>
      </w:tblPr>
      <w:tblGrid>
        <w:gridCol w:w="4350"/>
        <w:gridCol w:w="1050"/>
        <w:gridCol w:w="1050"/>
        <w:gridCol w:w="1050"/>
        <w:gridCol w:w="1050"/>
        <w:gridCol w:w="1050"/>
      </w:tblGrid>
      <w:tr>
        <w:tblPrEx>
          <w:tblW w:w="9600" w:type="dxa"/>
          <w:tblLayout w:type="fixed"/>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200" w:type="dxa"/>
            <w:gridSpan w:val="4"/>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Uzkrājumi vērtības samazinājumam</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3.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Kopā</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Atlikums 2021. gada 1. janvārī </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230,953</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146,243</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1,610,037</w:t>
            </w:r>
          </w:p>
        </w:tc>
        <w:tc>
          <w:tcPr>
            <w:tcW w:w="105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1,987,233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1.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95,878</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(42,818)</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(53,059)</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2.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(7,012)</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19,423</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(12,411)</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3.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(5,507)</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(25,089)</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30,595</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Jaunu iegādātu finanšu aktīvu vērtības samazinājums</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20,390</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5,048</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20,250</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45,688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Atcelts vērtības samazinājums nokārtotiem debitoru parādiem</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(27,678)</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(12,660)</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(27,945)</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(68,283)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Atcelts vērtības samazinājums norakstītiem debitoru parādiem</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(101,411)</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(42,197)</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(1,002,217)</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(1,145,825)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Neto pārvērtētie uzkrājumi </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(117,947)</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10,988</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90,503</w:t>
            </w:r>
          </w:p>
        </w:tc>
        <w:tc>
          <w:tcPr>
            <w:tcW w:w="105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(16,455)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Atlikums 2021. gada 31. decembrī</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87,666</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58,939</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655,753</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802,358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200" w:type="dxa"/>
            <w:gridSpan w:val="4"/>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Uzkrājumi vērtības samazinājumam</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3. stadija</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Kopā</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Atlikums 2020. gada 1. janvārī </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584,503</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358,256</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1,640,117</w:t>
            </w:r>
          </w:p>
        </w:tc>
        <w:tc>
          <w:tcPr>
            <w:tcW w:w="105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2,582,876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1.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97,362</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(75,710)</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(21,652)</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2.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(32,241)</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41,343</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(9,102)</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Pārcelts uz 3. stadiju</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(33,861)</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(78,878)</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112,739</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Jaunu iegādātu finanšu aktīvu vērtības samazinājums</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30,325</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9,335</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47,736</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87,396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Atcelts vērtības samazinājums nokārtotiem debitoru parādiem</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(81,798)</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(36,269)</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(80,214)</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(198,281)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Atcelts vērtības samazinājums norakstītiem debitoru parādiem</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(155,423)</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(93,046)</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(574,955)</w:t>
            </w:r>
          </w:p>
        </w:tc>
        <w:tc>
          <w:tcPr>
            <w:tcW w:w="105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(823,424)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Neto pārvērtētie uzkrājumi </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(177,914)</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21,212</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495,368</w:t>
            </w:r>
          </w:p>
        </w:tc>
        <w:tc>
          <w:tcPr>
            <w:tcW w:w="105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338,666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 xml:space="preserve">Atlikums 2020. gada 31. decembrī </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230,953</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146,243</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1,610,037</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1,987,233</w:t>
            </w:r>
          </w:p>
        </w:tc>
      </w:tr>
    </w:tbl>
    <w:p/>
    <w:p w:rsidR="00F40A5E" w:rsidRPr="001366A2" w:rsidP="001366A2" w14:paraId="3F153DC3" w14:textId="5CFD8937">
      <w:pPr>
        <w:spacing w:line="360" w:lineRule="auto"/>
        <w:jc w:val="both"/>
        <w:rPr>
          <w:rFonts w:ascii="Arial Narrow" w:eastAsia="Arial Narrow" w:hAnsi="Arial Narrow" w:cs="Arial Narrow"/>
          <w:sz w:val="16"/>
          <w:szCs w:val="16"/>
        </w:rPr>
      </w:pPr>
      <w:bookmarkStart w:id="1187" w:name="RG_MARKER_6642"/>
      <w:r w:rsidRPr="001366A2">
        <w:rPr>
          <w:rFonts w:ascii="Arial Narrow" w:eastAsia="Arial Narrow" w:hAnsi="Arial Narrow" w:cs="Arial Narrow"/>
          <w:sz w:val="16"/>
          <w:szCs w:val="16"/>
        </w:rPr>
        <w:t xml:space="preserve">Pārcelšana starp dažādām stadijām atspoguļo gada laikā notikušās izmaiņas uzkrājumos zaudējumiem no vērtības samazinājuma finanšu aktīviem, kuri slēguma bilances datumā ir citā stadijā nekā sākuma bilances datumā. Pārcelšana starp stadijām tiek </w:t>
      </w:r>
      <w:bookmarkEnd w:id="1187"/>
      <w:r w:rsidRPr="001366A2">
        <w:rPr>
          <w:rFonts w:ascii="Arial Narrow" w:eastAsia="Arial Narrow" w:hAnsi="Arial Narrow" w:cs="Arial Narrow"/>
          <w:sz w:val="16"/>
          <w:szCs w:val="16"/>
        </w:rPr>
        <w:t>veikta, balstoties uz ECL perioda sākumā.</w:t>
      </w:r>
    </w:p>
    <w:p w:rsidR="00F40A5E" w:rsidRPr="001366A2" w:rsidP="001366A2" w14:paraId="66D0A580" w14:textId="0585E5D1">
      <w:pPr>
        <w:spacing w:line="360" w:lineRule="auto"/>
        <w:jc w:val="both"/>
        <w:rPr>
          <w:rFonts w:ascii="Arial Narrow" w:eastAsia="Arial Narrow" w:hAnsi="Arial Narrow" w:cs="Arial Narrow"/>
          <w:sz w:val="16"/>
          <w:szCs w:val="16"/>
        </w:rPr>
      </w:pPr>
      <w:r w:rsidRPr="001366A2">
        <w:rPr>
          <w:rFonts w:ascii="Arial Narrow" w:eastAsia="Arial Narrow" w:hAnsi="Arial Narrow" w:cs="Arial Narrow"/>
          <w:sz w:val="16"/>
          <w:szCs w:val="16"/>
        </w:rPr>
        <w:t>Neto rezultāts no uzkrājumu zaudējumiem no vērtības samazinājuma pārvērtēšanas tiek uzskaitīts tajā stadijā, uz kuru aktīvs tiek pārcelts. Tas ir periods līdz datumam, kad uzkrājumi zaudējumiem no vērtības samazinā</w:t>
      </w:r>
      <w:r w:rsidRPr="001366A2">
        <w:rPr>
          <w:rFonts w:ascii="Arial Narrow" w:eastAsia="Arial Narrow" w:hAnsi="Arial Narrow" w:cs="Arial Narrow"/>
          <w:sz w:val="16"/>
          <w:szCs w:val="16"/>
        </w:rPr>
        <w:t>juma pārvērtēšanas tiek pārcelti uz konkrēto stadiju.</w:t>
      </w:r>
    </w:p>
    <w:p w:rsidR="00522739" w:rsidRPr="001366A2" w:rsidP="001366A2" w14:textId="7CCE2670">
      <w:pPr>
        <w:spacing w:line="360" w:lineRule="auto"/>
        <w:jc w:val="both"/>
        <w:rPr>
          <w:rFonts w:ascii="Arial Narrow" w:eastAsia="Arial Narrow" w:hAnsi="Arial Narrow" w:cs="Arial Narrow"/>
          <w:sz w:val="16"/>
          <w:szCs w:val="16"/>
        </w:rPr>
      </w:pPr>
      <w:r w:rsidRPr="001366A2">
        <w:rPr>
          <w:rFonts w:ascii="Arial Narrow" w:eastAsia="Arial Narrow" w:hAnsi="Arial Narrow" w:cs="Arial Narrow"/>
          <w:sz w:val="16"/>
          <w:szCs w:val="16"/>
        </w:rPr>
        <w:t>Izmaiņas kredītu un izsniegto avansu bruto uzskaites vērtībā un atbilstošajos ECL uzkrājumos ir šādas:</w:t>
      </w:r>
    </w:p>
    <w:tbl>
      <w:tblPr>
        <w:tblStyle w:val="CDMRange1"/>
        <w:tblW w:w="9600" w:type="dxa"/>
        <w:tblLayout w:type="fixed"/>
        <w:tblLook w:val="0600"/>
      </w:tblPr>
      <w:tblGrid>
        <w:gridCol w:w="4350"/>
        <w:gridCol w:w="1050"/>
        <w:gridCol w:w="1050"/>
        <w:gridCol w:w="1050"/>
        <w:gridCol w:w="1050"/>
        <w:gridCol w:w="1050"/>
      </w:tblGrid>
      <w:tr>
        <w:tblPrEx>
          <w:tblW w:w="9600" w:type="dxa"/>
          <w:tblLayout w:type="fixed"/>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200" w:type="dxa"/>
            <w:gridSpan w:val="4"/>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Minimum loans and advances to customers payments</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both"/>
              <w:rPr>
                <w:rFonts w:ascii="Arial Narrow" w:eastAsia="Arial Narrow" w:hAnsi="Arial Narrow" w:cs="Arial Narrow"/>
                <w:b/>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Kredīti un izsniegtie avansi</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stadija</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3,159,562</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73%</w:t>
            </w:r>
          </w:p>
        </w:tc>
        <w:tc>
          <w:tcPr>
            <w:tcW w:w="105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8,311,441</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stadija</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348,591</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w:t>
            </w:r>
          </w:p>
        </w:tc>
        <w:tc>
          <w:tcPr>
            <w:tcW w:w="105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999,138</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 stadija</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822,739</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w:t>
            </w:r>
          </w:p>
        </w:tc>
        <w:tc>
          <w:tcPr>
            <w:tcW w:w="105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2,070,342</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5400" w:type="dxa"/>
            <w:gridSpan w:val="2"/>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BRUTO:</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4,330,891</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100%</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11,380,921</w:t>
            </w:r>
          </w:p>
        </w:tc>
        <w:tc>
          <w:tcPr>
            <w:tcW w:w="105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Minimum loans and advances to customers payments</w:t>
            </w:r>
          </w:p>
        </w:tc>
        <w:tc>
          <w:tcPr>
            <w:tcW w:w="2100" w:type="dxa"/>
            <w:gridSpan w:val="2"/>
            <w:vMerge w:val="restart"/>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Izmaiņas perioda laikā</w:t>
            </w:r>
          </w:p>
        </w:tc>
        <w:tc>
          <w:tcPr>
            <w:tcW w:w="105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Minimum loans and advances to customers payments</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2100" w:type="dxa"/>
            <w:gridSpan w:val="2"/>
            <w:vMerge/>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2100" w:type="dxa"/>
            <w:gridSpan w:val="2"/>
            <w:vMerge/>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Kredīti un izsniegtie avansi</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stadija</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3,159,562</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(5,151,879)</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-62%</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8,311,441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stadija</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348,591</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(650,547)</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999,138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 stadija</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822,739</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(1,247,603)</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-60%</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2,070,342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400" w:type="dxa"/>
            <w:gridSpan w:val="2"/>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BRUTO:</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4,330,891</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(7,050,030)</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-62%</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11,380,921</w:t>
            </w:r>
          </w:p>
        </w:tc>
      </w:tr>
    </w:tbl>
    <w:tbl>
      <w:tblPr>
        <w:tblStyle w:val="CDMRange2"/>
        <w:tblW w:w="9600" w:type="dxa"/>
        <w:tblLayout w:type="fixed"/>
        <w:tblLook w:val="0600"/>
      </w:tblPr>
      <w:tblGrid>
        <w:gridCol w:w="4350"/>
        <w:gridCol w:w="1050"/>
        <w:gridCol w:w="1050"/>
        <w:gridCol w:w="1050"/>
        <w:gridCol w:w="1050"/>
        <w:gridCol w:w="1050"/>
      </w:tblGrid>
      <w:tr>
        <w:tblPrEx>
          <w:tblW w:w="9600" w:type="dxa"/>
          <w:tblLayout w:type="fixed"/>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pageBreakBefore/>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 Kredīti un izsniegti avansi (turpinājums)</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4200" w:type="dxa"/>
            <w:gridSpan w:val="4"/>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vērtības samazinājumam</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Uzkrājumi zaudējumiem no patēriņa kredītu vērtības samazināšanās</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stadija</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87,666</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230,953</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stadija</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58,939</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146,243</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 stadija</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655,753</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82%</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1,610,037</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400" w:type="dxa"/>
            <w:gridSpan w:val="2"/>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UZKRĀJUMI KOPĀ:</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802,358</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100%</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1,987,233</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vērtības samazinājumam</w:t>
            </w:r>
          </w:p>
        </w:tc>
        <w:tc>
          <w:tcPr>
            <w:tcW w:w="2100" w:type="dxa"/>
            <w:gridSpan w:val="2"/>
            <w:vMerge w:val="restart"/>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Izmaiņas perioda laikā</w:t>
            </w:r>
          </w:p>
        </w:tc>
        <w:tc>
          <w:tcPr>
            <w:tcW w:w="105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vērtības samazinājumam</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2100" w:type="dxa"/>
            <w:gridSpan w:val="2"/>
            <w:vMerge/>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430"/>
        </w:trPr>
        <w:tc>
          <w:tcPr>
            <w:tcW w:w="435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Uzkrājumi zaudējumiem no kredītu un izsniegtu avansu vērtības samazināšanās</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stadija</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87,666</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(143,287)</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-62%</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230,953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stadija</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58,939</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(87,304)</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-60%</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146,243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 stadija</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655,753</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(954,284)</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-59%</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1,610,037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400" w:type="dxa"/>
            <w:gridSpan w:val="2"/>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UZKRĀJUMI KOPĀ:</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802,358</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(1,184,875)</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-60%</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1,987,233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Minimālie aizdevumu maksājumi</w:t>
            </w:r>
          </w:p>
        </w:tc>
        <w:tc>
          <w:tcPr>
            <w:tcW w:w="105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Minimālo aizdevumu maksājumu                  pašreizējā vērtība</w:t>
            </w:r>
          </w:p>
        </w:tc>
        <w:tc>
          <w:tcPr>
            <w:tcW w:w="105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Minimālie aizdevumu maksājumi</w:t>
            </w:r>
          </w:p>
        </w:tc>
        <w:tc>
          <w:tcPr>
            <w:tcW w:w="105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Minimālo aizdevumu maksājumu </w:t>
            </w:r>
          </w:p>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pašreizējā vērtība</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Kredīti un izsniegtie avansi</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Līdz 1 gadam</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2,604,212</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1,652,966</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6,876,843</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4,361,318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 2 līdz 5 gadiem kopā</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3,786,083</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2,258,047</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10,389,693</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6,553,564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Ilgāk kā 5 gadi</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508,622</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419,878</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571,415</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466,039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400" w:type="dxa"/>
            <w:gridSpan w:val="2"/>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BRUTO:</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6,898,917</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4,330,891</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17,837,951</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11,380,921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Nenopelnītie finanšu ienākumi</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Līdz 1 gadam</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951,246</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2,515,525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 2 līdz 5 gadiem kopā</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1,528,036</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3,836,129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Ilgāk kā 5 gadi</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88,744</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105,376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2100" w:type="dxa"/>
            <w:gridSpan w:val="2"/>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BRUTO:</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2,568,026</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6,457,030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Kredīti un izsniegtie avansi</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Ilgtermiņa kredīti un izsniegtie avansi</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1,652,966</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4,361,318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Īstermiņa kredīti un izsniegtie avansi</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2,258,047</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6,553,564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Uzkrātie procenti</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419,878</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466,039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3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2100" w:type="dxa"/>
            <w:gridSpan w:val="2"/>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BRUTO:</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4,330,891</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11,380,921</w:t>
            </w:r>
          </w:p>
        </w:tc>
      </w:tr>
    </w:tbl>
    <w:tbl>
      <w:tblPr>
        <w:tblStyle w:val="CDMRange1"/>
        <w:tblW w:w="9780" w:type="dxa"/>
        <w:tblLayout w:type="fixed"/>
        <w:tblLook w:val="0600"/>
      </w:tblPr>
      <w:tblGrid>
        <w:gridCol w:w="4530"/>
        <w:gridCol w:w="1050"/>
        <w:gridCol w:w="1050"/>
        <w:gridCol w:w="1050"/>
        <w:gridCol w:w="1050"/>
        <w:gridCol w:w="1050"/>
      </w:tblGrid>
      <w:tr>
        <w:tblPrEx>
          <w:tblW w:w="9780" w:type="dxa"/>
          <w:tblLayout w:type="fixed"/>
          <w:tblLook w:val="0600"/>
        </w:tblPrEx>
        <w:trPr>
          <w:trHeight w:hRule="exact" w:val="255"/>
        </w:trPr>
        <w:tc>
          <w:tcPr>
            <w:tcW w:w="453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pageBreakBefore/>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 Kredīti un izsniegti avansi (turpinājums)</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53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53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53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Izmaiņas uzkrājumos zaudējumiem no vērtības samazināšanās</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53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vērtības samazinājumam 01. janvārī</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1,987,233</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2,582,876</w:t>
            </w:r>
          </w:p>
        </w:tc>
      </w:tr>
      <w:tr>
        <w:tblPrEx>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53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Pārskata gadā atzītie zaudējumi no vērtības samazināšanās</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88,100</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825,171</w:t>
            </w:r>
          </w:p>
        </w:tc>
      </w:tr>
      <w:tr>
        <w:tblPrEx>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53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Atcelti uzkrājumi vērtības samazinājumam debitoru parādu cedēšanas dēļ</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(1,272,975)</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(1,420,814)</w:t>
            </w:r>
          </w:p>
        </w:tc>
      </w:tr>
      <w:tr>
        <w:tblPrEx>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53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Uzkrājumi vērtības samazinājumam 31. decembrī</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802,358</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1,987,233</w:t>
            </w:r>
          </w:p>
        </w:tc>
      </w:tr>
      <w:tr>
        <w:tblPrEx>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53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53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53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53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 xml:space="preserve">Ilgtermiņa </w:t>
            </w: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Īstermiņa</w:t>
            </w: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 xml:space="preserve">Ilgtermiņa </w:t>
            </w: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Īstermiņa</w:t>
            </w:r>
          </w:p>
        </w:tc>
      </w:tr>
      <w:tr>
        <w:tblPrEx>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53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c>
          <w:tcPr>
            <w:tcW w:w="105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53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Kredīti un izsniegti avansi, neto</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05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53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Kredīti un izsniegtie avansi</w:t>
            </w: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2,677,925</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1,546,681</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7,019,602</w:t>
            </w:r>
          </w:p>
        </w:tc>
        <w:tc>
          <w:tcPr>
            <w:tcW w:w="105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4,032,307</w:t>
            </w:r>
          </w:p>
        </w:tc>
      </w:tr>
      <w:tr>
        <w:tblPrEx>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53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Uzkrātie procenti</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106,282</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329,012</w:t>
            </w:r>
          </w:p>
        </w:tc>
      </w:tr>
      <w:tr>
        <w:tblPrEx>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53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Pie aizdevumu izsniegšanas samaksātas komisijas maksas</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37,707</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21,779</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75,116</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43,149</w:t>
            </w:r>
          </w:p>
        </w:tc>
      </w:tr>
      <w:tr>
        <w:tblPrEx>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53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Pie aizdevumu izsniegšanas saņemtas komisijas maksas</w:t>
            </w:r>
          </w:p>
        </w:tc>
        <w:tc>
          <w:tcPr>
            <w:tcW w:w="105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(112,069)</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(64,727)</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(254,581)</w:t>
            </w:r>
          </w:p>
        </w:tc>
        <w:tc>
          <w:tcPr>
            <w:tcW w:w="105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(146,241)</w:t>
            </w:r>
          </w:p>
        </w:tc>
      </w:tr>
      <w:tr>
        <w:tblPrEx>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53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vērtības samazinājumam</w:t>
            </w:r>
          </w:p>
        </w:tc>
        <w:tc>
          <w:tcPr>
            <w:tcW w:w="105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(155,867)</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(646,491)</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(386,260)</w:t>
            </w:r>
          </w:p>
        </w:tc>
        <w:tc>
          <w:tcPr>
            <w:tcW w:w="105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(1,600,973)</w:t>
            </w:r>
          </w:p>
        </w:tc>
      </w:tr>
      <w:tr>
        <w:tblPrEx>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53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05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2,447,696</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963,524</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6,453,877</w:t>
            </w:r>
          </w:p>
        </w:tc>
        <w:tc>
          <w:tcPr>
            <w:tcW w:w="105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2,657,254</w:t>
            </w:r>
          </w:p>
        </w:tc>
      </w:tr>
    </w:tbl>
    <w:p/>
    <w:p w:rsidR="00B475FF" w:rsidRPr="00B475FF" w:rsidP="009E5739" w14:paraId="3F4E2772" w14:textId="77777777">
      <w:pPr>
        <w:rPr>
          <w:rFonts w:ascii="Arial Narrow" w:eastAsia="Arial Narrow" w:hAnsi="Arial Narrow" w:cs="Arial Narrow"/>
          <w:color w:val="FF0000"/>
          <w:sz w:val="14"/>
          <w:szCs w:val="14"/>
        </w:rPr>
      </w:pPr>
      <w:bookmarkStart w:id="1188" w:name="RG_MARKER_6643"/>
      <w:bookmarkEnd w:id="1188"/>
    </w:p>
    <w:p w:rsidR="00522739" w:rsidRPr="00D30A1A" w:rsidP="00D30A1A" w14:textId="69D150F3">
      <w:pPr>
        <w:spacing w:line="360" w:lineRule="auto"/>
        <w:jc w:val="both"/>
        <w:rPr>
          <w:rFonts w:ascii="Arial Narrow" w:eastAsia="Arial Narrow" w:hAnsi="Arial Narrow" w:cs="Arial Narrow"/>
          <w:sz w:val="16"/>
          <w:szCs w:val="16"/>
          <w:lang w:val="lv-LV"/>
        </w:rPr>
      </w:pPr>
      <w:r w:rsidRPr="00D30A1A">
        <w:rPr>
          <w:rFonts w:ascii="Arial Narrow" w:eastAsia="Arial Narrow" w:hAnsi="Arial Narrow" w:cs="Arial Narrow"/>
          <w:sz w:val="16"/>
          <w:szCs w:val="16"/>
          <w:lang w:val="lv-LV"/>
        </w:rPr>
        <w:t>2021. gada 31. decembrī daļa no bruto kredītu portfeļa EUR 544 526 apmērā tika ieķīlāta par labu AS "Citadele banka" kā nodrošinājums izsniegtajai kredītlīnijai (2020. gada 31. decembrī: EUR  997 441).</w:t>
      </w:r>
    </w:p>
    <w:p/>
    <w:p w:rsidR="00B829C9" w:rsidRPr="003F5438" w:rsidP="003F5438" w14:paraId="359BFED8" w14:textId="55E68518">
      <w:pPr>
        <w:spacing w:line="360" w:lineRule="auto"/>
        <w:jc w:val="both"/>
        <w:rPr>
          <w:rFonts w:ascii="Arial Narrow" w:eastAsia="Arial Narrow" w:hAnsi="Arial Narrow" w:cs="Arial Narrow"/>
          <w:sz w:val="16"/>
          <w:szCs w:val="16"/>
        </w:rPr>
      </w:pPr>
      <w:bookmarkStart w:id="1189" w:name="RG_MARKER_6644"/>
      <w:bookmarkStart w:id="1190" w:name="RG_MARKER_6553"/>
      <w:r w:rsidRPr="00AF5CDA">
        <w:rPr>
          <w:rFonts w:ascii="Arial Narrow" w:eastAsia="Arial Narrow" w:hAnsi="Arial Narrow" w:cs="Arial Narrow"/>
          <w:b/>
          <w:bCs/>
          <w:sz w:val="16"/>
          <w:szCs w:val="16"/>
        </w:rPr>
        <w:t>21</w:t>
      </w:r>
      <w:bookmarkEnd w:id="1190"/>
      <w:bookmarkEnd w:id="1189"/>
      <w:r w:rsidRPr="003F5438">
        <w:rPr>
          <w:rFonts w:ascii="Arial Narrow" w:eastAsia="Arial Narrow" w:hAnsi="Arial Narrow" w:cs="Arial Narrow"/>
          <w:b/>
          <w:bCs/>
          <w:sz w:val="16"/>
          <w:szCs w:val="16"/>
        </w:rPr>
        <w:t>. Ieguldījumi parāda vērtspapīros</w:t>
      </w:r>
      <w:r w:rsidRPr="003F5438">
        <w:rPr>
          <w:rFonts w:ascii="Arial Narrow" w:eastAsia="Arial Narrow" w:hAnsi="Arial Narrow" w:cs="Arial Narrow"/>
          <w:sz w:val="16"/>
          <w:szCs w:val="16"/>
        </w:rPr>
        <w:tab/>
      </w:r>
      <w:r w:rsidRPr="003F5438">
        <w:rPr>
          <w:rFonts w:ascii="Arial Narrow" w:eastAsia="Arial Narrow" w:hAnsi="Arial Narrow" w:cs="Arial Narrow"/>
          <w:sz w:val="16"/>
          <w:szCs w:val="16"/>
        </w:rPr>
        <w:tab/>
      </w:r>
      <w:r w:rsidRPr="003F5438">
        <w:rPr>
          <w:rFonts w:ascii="Arial Narrow" w:eastAsia="Arial Narrow" w:hAnsi="Arial Narrow" w:cs="Arial Narrow"/>
          <w:sz w:val="16"/>
          <w:szCs w:val="16"/>
        </w:rPr>
        <w:tab/>
      </w:r>
    </w:p>
    <w:p w:rsidR="00522739" w:rsidRPr="00B829C9" w:rsidP="003F5438" w14:textId="3C8C6E0D">
      <w:pPr>
        <w:spacing w:line="360" w:lineRule="auto"/>
        <w:jc w:val="both"/>
        <w:rPr>
          <w:rFonts w:ascii="Arial Narrow" w:eastAsia="Arial Narrow" w:hAnsi="Arial Narrow" w:cs="Arial Narrow"/>
        </w:rPr>
      </w:pPr>
      <w:r w:rsidRPr="003F5438">
        <w:rPr>
          <w:rFonts w:ascii="Arial Narrow" w:eastAsia="Arial Narrow" w:hAnsi="Arial Narrow" w:cs="Arial Narrow"/>
          <w:sz w:val="16"/>
          <w:szCs w:val="16"/>
        </w:rPr>
        <w:t>Tabulā ir uzrādīti ieguldījumi vērtspapīros, kas novērtēti patiesajā vērtībā ar atspoguļojumu pārējos apvienotajos ienākumos.</w:t>
      </w:r>
      <w:r w:rsidRPr="003F5438">
        <w:rPr>
          <w:rFonts w:ascii="Arial Narrow" w:eastAsia="Arial Narrow" w:hAnsi="Arial Narrow" w:cs="Arial Narrow"/>
          <w:b/>
          <w:bCs/>
          <w:sz w:val="16"/>
          <w:szCs w:val="16"/>
        </w:rPr>
        <w:t xml:space="preserve"> </w:t>
      </w:r>
      <w:r w:rsidRPr="003F5438">
        <w:rPr>
          <w:rFonts w:ascii="Arial Narrow" w:eastAsia="Arial Narrow" w:hAnsi="Arial Narrow" w:cs="Arial Narrow"/>
          <w:b/>
          <w:bCs/>
          <w:sz w:val="16"/>
          <w:szCs w:val="16"/>
        </w:rPr>
        <w:tab/>
      </w:r>
      <w:r w:rsidRPr="00B829C9">
        <w:rPr>
          <w:rFonts w:ascii="Arial Narrow" w:eastAsia="Arial Narrow" w:hAnsi="Arial Narrow" w:cs="Arial Narrow"/>
          <w:b/>
          <w:bCs/>
          <w:sz w:val="14"/>
          <w:szCs w:val="14"/>
        </w:rPr>
        <w:tab/>
      </w:r>
      <w:r w:rsidRPr="00B829C9">
        <w:rPr>
          <w:rFonts w:ascii="Arial Narrow" w:eastAsia="Arial Narrow" w:hAnsi="Arial Narrow" w:cs="Arial Narrow"/>
          <w:b/>
          <w:bCs/>
          <w:sz w:val="14"/>
          <w:szCs w:val="14"/>
        </w:rPr>
        <w:tab/>
      </w:r>
      <w:r w:rsidRPr="00B829C9">
        <w:rPr>
          <w:rFonts w:ascii="Arial Narrow" w:eastAsia="Arial Narrow" w:hAnsi="Arial Narrow" w:cs="Arial Narrow"/>
          <w:b/>
          <w:bCs/>
          <w:sz w:val="14"/>
          <w:szCs w:val="14"/>
        </w:rPr>
        <w:tab/>
      </w:r>
      <w:r w:rsidRPr="00B829C9">
        <w:rPr>
          <w:rFonts w:ascii="Arial Narrow" w:eastAsia="Arial Narrow" w:hAnsi="Arial Narrow" w:cs="Arial Narrow"/>
          <w:b/>
          <w:bCs/>
          <w:sz w:val="14"/>
          <w:szCs w:val="14"/>
        </w:rPr>
        <w:tab/>
      </w:r>
      <w:r w:rsidRPr="00B829C9">
        <w:rPr>
          <w:rFonts w:ascii="Arial Narrow" w:eastAsia="Arial Narrow" w:hAnsi="Arial Narrow" w:cs="Arial Narrow"/>
          <w:b/>
          <w:bCs/>
          <w:sz w:val="14"/>
          <w:szCs w:val="14"/>
        </w:rPr>
        <w:tab/>
      </w:r>
      <w:r w:rsidRPr="00B829C9">
        <w:rPr>
          <w:rFonts w:ascii="Arial Narrow" w:eastAsia="Arial Narrow" w:hAnsi="Arial Narrow" w:cs="Arial Narrow"/>
          <w:b/>
          <w:bCs/>
          <w:sz w:val="14"/>
          <w:szCs w:val="14"/>
        </w:rPr>
        <w:tab/>
      </w:r>
      <w:r w:rsidRPr="00B829C9">
        <w:rPr>
          <w:rFonts w:ascii="Arial Narrow" w:eastAsia="Arial Narrow" w:hAnsi="Arial Narrow" w:cs="Arial Narrow"/>
          <w:b/>
          <w:bCs/>
          <w:sz w:val="14"/>
          <w:szCs w:val="14"/>
        </w:rPr>
        <w:tab/>
      </w:r>
      <w:r w:rsidRPr="00B829C9">
        <w:rPr>
          <w:rFonts w:ascii="Arial Narrow" w:eastAsia="Arial Narrow" w:hAnsi="Arial Narrow" w:cs="Arial Narrow"/>
          <w:b/>
          <w:bCs/>
          <w:sz w:val="14"/>
          <w:szCs w:val="14"/>
        </w:rPr>
        <w:tab/>
      </w:r>
    </w:p>
    <w:tbl>
      <w:tblPr>
        <w:tblStyle w:val="CDMRange2"/>
        <w:tblW w:w="9600" w:type="dxa"/>
        <w:tblLayout w:type="fixed"/>
        <w:tblLook w:val="0600"/>
      </w:tblPr>
      <w:tblGrid>
        <w:gridCol w:w="5100"/>
        <w:gridCol w:w="900"/>
        <w:gridCol w:w="900"/>
        <w:gridCol w:w="900"/>
        <w:gridCol w:w="900"/>
        <w:gridCol w:w="900"/>
      </w:tblGrid>
      <w:tr>
        <w:tblPrEx>
          <w:tblW w:w="9600" w:type="dxa"/>
          <w:tblLayout w:type="fixed"/>
          <w:tblLook w:val="0600"/>
        </w:tblPrEx>
        <w:trPr>
          <w:trHeight w:hRule="exact" w:val="210"/>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10"/>
        </w:trPr>
        <w:tc>
          <w:tcPr>
            <w:tcW w:w="51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10"/>
        </w:trPr>
        <w:tc>
          <w:tcPr>
            <w:tcW w:w="5100"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Ieguldījums Mogo Finance S.A emitētās obligācijās</w:t>
            </w:r>
          </w:p>
        </w:tc>
        <w:tc>
          <w:tcPr>
            <w:tcW w:w="90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609,000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20"/>
        </w:trPr>
        <w:tc>
          <w:tcPr>
            <w:tcW w:w="51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Ieguldījums Mogo Finance S.A emitētās obligācijās</w:t>
            </w:r>
          </w:p>
        </w:tc>
        <w:tc>
          <w:tcPr>
            <w:tcW w:w="900" w:type="dxa"/>
            <w:tcBorders>
              <w:top w:val="single" w:sz="4" w:space="0" w:color="000000"/>
              <w:left w:val="nil"/>
              <w:bottom w:val="double" w:sz="6" w:space="0" w:color="000000"/>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900" w:type="dxa"/>
            <w:tcBorders>
              <w:top w:val="single" w:sz="4" w:space="0" w:color="000000"/>
              <w:left w:val="nil"/>
              <w:bottom w:val="double" w:sz="6" w:space="0" w:color="000000"/>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609,000</w:t>
            </w:r>
          </w:p>
        </w:tc>
      </w:tr>
    </w:tbl>
    <w:p/>
    <w:p w:rsidR="00F76E8E" w:rsidRPr="00F5284F" w:rsidP="00395E3A" w14:paraId="4620F3D3" w14:textId="64975106">
      <w:pPr>
        <w:spacing w:line="360" w:lineRule="auto"/>
        <w:jc w:val="both"/>
        <w:rPr>
          <w:rFonts w:ascii="Arial Narrow" w:eastAsia="Arial Narrow" w:hAnsi="Arial Narrow" w:cs="Arial Narrow"/>
          <w:sz w:val="16"/>
          <w:szCs w:val="16"/>
          <w:lang w:val="lv-LV"/>
        </w:rPr>
      </w:pPr>
      <w:bookmarkStart w:id="1191" w:name="RG_MARKER_6645"/>
      <w:r w:rsidRPr="00F5284F">
        <w:rPr>
          <w:rFonts w:ascii="Arial Narrow" w:eastAsia="Arial Narrow" w:hAnsi="Arial Narrow" w:cs="Arial Narrow"/>
          <w:sz w:val="16"/>
          <w:szCs w:val="16"/>
          <w:lang w:val="lv-LV"/>
        </w:rPr>
        <w:t>Lai samazinātu savu neto parādsaistību pozīciju, 2020. gadā Koncerns iegādājās Koncerna mātes sabiedrības emitētās obligācijas. Obligācijas tika iegādātas par to nominālvērtību EUR 700 000 un fiksētu likmi 9,5% apmērā ar dzēšanas termiņu</w:t>
      </w:r>
      <w:bookmarkEnd w:id="1191"/>
      <w:r w:rsidRPr="00F5284F">
        <w:rPr>
          <w:rFonts w:ascii="Arial Narrow" w:eastAsia="Arial Narrow" w:hAnsi="Arial Narrow" w:cs="Arial Narrow"/>
          <w:sz w:val="16"/>
          <w:szCs w:val="16"/>
          <w:lang w:val="lv-LV"/>
        </w:rPr>
        <w:t xml:space="preserve"> 10.07.2022.</w:t>
      </w:r>
    </w:p>
    <w:p w:rsidR="00522739" w:rsidRPr="00F5284F" w:rsidP="00395E3A" w14:textId="190D3628">
      <w:pPr>
        <w:spacing w:line="360" w:lineRule="auto"/>
        <w:jc w:val="both"/>
        <w:rPr>
          <w:rFonts w:ascii="Arial Narrow" w:eastAsia="Arial Narrow" w:hAnsi="Arial Narrow" w:cs="Arial Narrow"/>
          <w:sz w:val="16"/>
          <w:szCs w:val="16"/>
          <w:lang w:val="lv-LV"/>
        </w:rPr>
      </w:pPr>
      <w:r w:rsidRPr="00F5284F">
        <w:rPr>
          <w:rFonts w:ascii="Arial Narrow" w:eastAsia="Arial Narrow" w:hAnsi="Arial Narrow" w:cs="Arial Narrow"/>
          <w:sz w:val="16"/>
          <w:szCs w:val="16"/>
          <w:lang w:val="lv-LV"/>
        </w:rPr>
        <w:t xml:space="preserve">Neviens ieguldījums 2020. gadā netika pārdots un netika veikta kumulatīvās pārvērtēšanas peļņas vai zaudējumu pārcelšana. Gadā, kas noslēdzās 2020. gada 31. decembrī, izmaiņas šo ieguldījumu patiesajā vērtībā bija EUR 23 991, kas tika atzītas </w:t>
      </w:r>
      <w:r w:rsidRPr="00F5284F">
        <w:rPr>
          <w:rFonts w:ascii="Arial Narrow" w:eastAsia="Arial Narrow" w:hAnsi="Arial Narrow" w:cs="Arial Narrow"/>
          <w:sz w:val="16"/>
          <w:szCs w:val="16"/>
          <w:lang w:val="lv-LV"/>
        </w:rPr>
        <w:t>patiesās vērtības rezervēs un pārējos apvienotajos ienākumos.</w:t>
      </w:r>
    </w:p>
    <w:p w:rsidR="00F5284F" w:rsidRPr="00F5284F" w:rsidP="00395E3A" w14:paraId="2AE35EEB" w14:textId="43C91423">
      <w:pPr>
        <w:spacing w:line="360" w:lineRule="auto"/>
        <w:jc w:val="both"/>
        <w:rPr>
          <w:rFonts w:ascii="Arial Narrow" w:eastAsia="Arial Narrow" w:hAnsi="Arial Narrow" w:cs="Arial Narrow"/>
          <w:sz w:val="16"/>
          <w:szCs w:val="16"/>
          <w:lang w:val="lv-LV"/>
        </w:rPr>
      </w:pPr>
      <w:r w:rsidRPr="00F5284F">
        <w:rPr>
          <w:rFonts w:ascii="Arial Narrow" w:eastAsia="Arial Narrow" w:hAnsi="Arial Narrow" w:cs="Arial Narrow"/>
          <w:sz w:val="16"/>
          <w:szCs w:val="16"/>
          <w:lang w:val="lv-LV"/>
        </w:rPr>
        <w:t>2021. gadā visas obligācijas tika pārdotas</w:t>
      </w:r>
      <w:r>
        <w:rPr>
          <w:rFonts w:ascii="Arial Narrow" w:eastAsia="Arial Narrow" w:hAnsi="Arial Narrow" w:cs="Arial Narrow"/>
          <w:sz w:val="16"/>
          <w:szCs w:val="16"/>
          <w:lang w:val="lv-LV"/>
        </w:rPr>
        <w:t xml:space="preserve"> </w:t>
      </w:r>
      <w:r w:rsidRPr="00B37804">
        <w:rPr>
          <w:rFonts w:ascii="Arial Narrow" w:eastAsia="Arial Narrow" w:hAnsi="Arial Narrow" w:cs="Arial Narrow"/>
          <w:sz w:val="16"/>
          <w:szCs w:val="16"/>
          <w:lang w:val="lv-LV"/>
        </w:rPr>
        <w:t>nesaistītajām pusēm.</w:t>
      </w:r>
    </w:p>
    <w:p/>
    <w:tbl>
      <w:tblPr>
        <w:tblStyle w:val="CDMRange1"/>
        <w:tblW w:w="9600" w:type="dxa"/>
        <w:tblLayout w:type="fixed"/>
        <w:tblLook w:val="0600"/>
      </w:tblPr>
      <w:tblGrid>
        <w:gridCol w:w="6000"/>
        <w:gridCol w:w="900"/>
        <w:gridCol w:w="900"/>
        <w:gridCol w:w="900"/>
        <w:gridCol w:w="900"/>
      </w:tblGrid>
      <w:tr>
        <w:tblPrEx>
          <w:tblW w:w="9600" w:type="dxa"/>
          <w:tblLayout w:type="fixed"/>
          <w:tblLook w:val="0600"/>
        </w:tblPrEx>
        <w:trPr>
          <w:cantSplit/>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22. Pārdošanai turēti aktīvi</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Citi pārdošanai turēti ilgtermiņa ieguldījumi, neto</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6000"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Pārņemti ķīlu nodrošinājumi</w:t>
            </w:r>
          </w:p>
        </w:tc>
        <w:tc>
          <w:tcPr>
            <w:tcW w:w="1800" w:type="dxa"/>
            <w:gridSpan w:val="2"/>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32,117</w:t>
            </w:r>
          </w:p>
        </w:tc>
        <w:tc>
          <w:tcPr>
            <w:tcW w:w="1800" w:type="dxa"/>
            <w:gridSpan w:val="2"/>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62,640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60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800" w:type="dxa"/>
            <w:gridSpan w:val="2"/>
            <w:tcBorders>
              <w:top w:val="single" w:sz="4" w:space="0" w:color="000000"/>
              <w:left w:val="nil"/>
              <w:bottom w:val="double" w:sz="6"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32,117</w:t>
            </w:r>
          </w:p>
        </w:tc>
        <w:tc>
          <w:tcPr>
            <w:tcW w:w="1800" w:type="dxa"/>
            <w:gridSpan w:val="2"/>
            <w:tcBorders>
              <w:top w:val="single" w:sz="4" w:space="0" w:color="000000"/>
              <w:left w:val="nil"/>
              <w:bottom w:val="double" w:sz="6"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62,640</w:t>
            </w:r>
          </w:p>
        </w:tc>
      </w:tr>
    </w:tbl>
    <w:p/>
    <w:p w:rsidR="00522739" w:rsidRPr="008C44C2" w:rsidP="008C44C2" w14:textId="1088AB9C">
      <w:pPr>
        <w:spacing w:line="360" w:lineRule="auto"/>
        <w:jc w:val="both"/>
        <w:rPr>
          <w:rFonts w:ascii="Arial Narrow" w:eastAsia="Arial Narrow" w:hAnsi="Arial Narrow" w:cs="Arial Narrow"/>
          <w:sz w:val="16"/>
          <w:szCs w:val="16"/>
        </w:rPr>
      </w:pPr>
      <w:bookmarkStart w:id="1192" w:name="RG_MARKER_6646"/>
      <w:bookmarkStart w:id="1193" w:name="RG_MARKER_6448"/>
      <w:r w:rsidRPr="008C44C2">
        <w:rPr>
          <w:rFonts w:ascii="Arial Narrow" w:eastAsia="Arial Narrow" w:hAnsi="Arial Narrow" w:cs="Arial Narrow"/>
          <w:sz w:val="16"/>
          <w:szCs w:val="16"/>
        </w:rPr>
        <w:t xml:space="preserve">Pārņemtie ķīlu nodrošinājumi ir automašīnas, kuras Koncerns ir pārņēmis gadījumos, kad Koncerna klients ir pārtraucis pildīt attiecīgā līguma saistības.  Iestājoties klienta saistību neizpildei, Koncernam ir tiesības pārņemt automašīnu un pārdot to </w:t>
      </w:r>
      <w:bookmarkEnd w:id="1193"/>
      <w:bookmarkEnd w:id="1192"/>
      <w:r w:rsidRPr="008C44C2">
        <w:rPr>
          <w:rFonts w:ascii="Arial Narrow" w:eastAsia="Arial Narrow" w:hAnsi="Arial Narrow" w:cs="Arial Narrow"/>
          <w:sz w:val="16"/>
          <w:szCs w:val="16"/>
        </w:rPr>
        <w:t>trešajai pusei. Koncernam nav tiesību pārņemt, pārdotu vai ieķīlāt automašīnu gadījumos, kad klienta saistību neizpilde nav iestājusies. Pārņemtās automašīnas Koncerns parasti pārdod 90 dienu laikā pēc pārņemšanas.</w:t>
      </w:r>
    </w:p>
    <w:tbl>
      <w:tblPr>
        <w:tblStyle w:val="CDMRange2"/>
        <w:tblW w:w="9600" w:type="dxa"/>
        <w:tblLayout w:type="fixed"/>
        <w:tblLook w:val="0600"/>
      </w:tblPr>
      <w:tblGrid>
        <w:gridCol w:w="3300"/>
        <w:gridCol w:w="900"/>
        <w:gridCol w:w="900"/>
        <w:gridCol w:w="900"/>
        <w:gridCol w:w="900"/>
        <w:gridCol w:w="900"/>
        <w:gridCol w:w="900"/>
        <w:gridCol w:w="900"/>
      </w:tblGrid>
      <w:tr>
        <w:tblPrEx>
          <w:tblW w:w="9600" w:type="dxa"/>
          <w:tblLayout w:type="fixed"/>
          <w:tblLook w:val="0600"/>
        </w:tblPrEx>
        <w:trPr>
          <w:cantSplit/>
          <w:trHeight w:hRule="exact" w:val="255"/>
        </w:trPr>
        <w:tc>
          <w:tcPr>
            <w:tcW w:w="33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 xml:space="preserve">23. Saistīto pušu debitoru parādi </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33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33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33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Saistīto pušu ilgtermiņa debitoru parādi par cesiju</w:t>
            </w: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512,164</w:t>
            </w: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187,315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33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Saistīto pušu īstermiņa debitoru parādi par cesiju</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609,306</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277,853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33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Saistītu personu debitoru parādi</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258,821</w:t>
            </w: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77,769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33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1,380,291</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542,937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33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33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9600" w:type="dxa"/>
            <w:gridSpan w:val="8"/>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Pārējo saistīto pušu debitoru parādu un ar tiem saistīto ECL uzkrājumu analīze gada beigās ir šāda:</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33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33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800" w:type="dxa"/>
            <w:gridSpan w:val="2"/>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Ilgtermiņa saistīto pušu debitoru parādi</w:t>
            </w:r>
          </w:p>
        </w:tc>
        <w:tc>
          <w:tcPr>
            <w:tcW w:w="4500" w:type="dxa"/>
            <w:gridSpan w:val="5"/>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Īstermiņa saistīto pušu debitoru parādi</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33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800" w:type="dxa"/>
            <w:gridSpan w:val="2"/>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4500" w:type="dxa"/>
            <w:gridSpan w:val="5"/>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33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Bez kavējuma</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ilgtermiņa parādi</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Bez kavējuma</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1-30</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31-90</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&gt; 90 days</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īstermiņa parādi</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33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2021</w:t>
            </w: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33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Debitoru parādi no cedēšanas </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512,164</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512,164</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609,306</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609,306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33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parādi par parādu komisijas naudām</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124,268</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134,393</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160</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258,821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33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Pircēju un pasūtītāju parādi kopā</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512,164</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512,164</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733,574</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134,393</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160</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868,127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33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33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33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800" w:type="dxa"/>
            <w:gridSpan w:val="2"/>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Ilgtermiņa saistīto pušu debitoru parādi</w:t>
            </w:r>
          </w:p>
        </w:tc>
        <w:tc>
          <w:tcPr>
            <w:tcW w:w="4500" w:type="dxa"/>
            <w:gridSpan w:val="5"/>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Īstermiņa saistīto pušu debitoru parādi</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33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800" w:type="dxa"/>
            <w:gridSpan w:val="2"/>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4500" w:type="dxa"/>
            <w:gridSpan w:val="5"/>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33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Bez kavējuma</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ilgtermiņa parādi</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Bez kavējuma</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1-30</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31-90</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&gt; 90 days</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īstermiņa parādi</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33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2020</w:t>
            </w: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33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Debitoru parādi no cedēšanas </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187,315</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187,315</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277,853</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277,853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33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parādi par parādu komisijas naudām</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77,769</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77,769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33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Pircēju un pasūtītāju parādi kopā</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187,315</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187,315</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355,622</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355,622</w:t>
            </w:r>
          </w:p>
        </w:tc>
      </w:tr>
    </w:tbl>
    <w:p/>
    <w:p w:rsidR="00522739" w:rsidRPr="00873776" w:rsidP="00873776" w14:textId="632BCBC5">
      <w:pPr>
        <w:spacing w:line="360" w:lineRule="auto"/>
        <w:jc w:val="both"/>
        <w:rPr>
          <w:rFonts w:ascii="Arial Narrow" w:eastAsia="Arial Narrow" w:hAnsi="Arial Narrow" w:cs="Arial Narrow"/>
          <w:sz w:val="16"/>
          <w:szCs w:val="16"/>
        </w:rPr>
      </w:pPr>
      <w:bookmarkStart w:id="1194" w:name="RG_MARKER_6647"/>
      <w:bookmarkStart w:id="1195" w:name="RG_MARKER_6558"/>
      <w:r w:rsidRPr="00873776">
        <w:rPr>
          <w:rFonts w:ascii="Arial Narrow" w:eastAsia="Arial Narrow" w:hAnsi="Arial Narrow" w:cs="Arial Narrow"/>
          <w:sz w:val="16"/>
          <w:szCs w:val="16"/>
        </w:rPr>
        <w:t>ECL pārskata perioda beigu datumā ir aplēsti, balstoties uz sagaidāmo parādu nokārtošanu. Vadība ir veikusi saistītās puses debitoru parādu izvērtējumu un secinājusi, ka būtiska kredītriska pieauguma nav. Tāpēc pārskata perioda beigu datumā nav atzīti ECL.</w:t>
      </w:r>
      <w:bookmarkEnd w:id="1195"/>
      <w:bookmarkEnd w:id="1194"/>
      <w:r w:rsidRPr="00873776">
        <w:rPr>
          <w:rFonts w:ascii="Arial Narrow" w:eastAsia="Arial Narrow" w:hAnsi="Arial Narrow" w:cs="Arial Narrow"/>
          <w:sz w:val="16"/>
          <w:szCs w:val="16"/>
        </w:rPr>
        <w:t xml:space="preserve"> (20</w:t>
      </w:r>
      <w:r>
        <w:rPr>
          <w:rFonts w:ascii="Arial Narrow" w:eastAsia="Arial Narrow" w:hAnsi="Arial Narrow" w:cs="Arial Narrow"/>
          <w:sz w:val="16"/>
          <w:szCs w:val="16"/>
        </w:rPr>
        <w:t>20</w:t>
      </w:r>
      <w:r w:rsidRPr="00873776">
        <w:rPr>
          <w:rFonts w:ascii="Arial Narrow" w:eastAsia="Arial Narrow" w:hAnsi="Arial Narrow" w:cs="Arial Narrow"/>
          <w:sz w:val="16"/>
          <w:szCs w:val="16"/>
        </w:rPr>
        <w:t>: EUR 0).</w:t>
      </w:r>
    </w:p>
    <w:p/>
    <w:tbl>
      <w:tblPr>
        <w:tblStyle w:val="CDMRange1"/>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24. Nākamo periodu izmaksas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Avansa maksājums par Mintos pakalpojumiem</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32,634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Pārējās nākamo periodu izmaksas</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86,329</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82,359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86,329</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114,993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bl>
    <w:p>
      <w:pPr>
        <w:spacing w:before="0" w:beforeAutospacing="0" w:after="0" w:afterAutospacing="0" w:line="240" w:lineRule="auto"/>
        <w:rPr>
          <w:rFonts w:ascii="Arial Narrow" w:eastAsia="Arial Narrow" w:hAnsi="Arial Narrow" w:cs="Arial Narrow"/>
          <w:sz w:val="16"/>
        </w:rPr>
      </w:pPr>
    </w:p>
    <w:tbl>
      <w:tblPr>
        <w:tblStyle w:val="CDMRange2"/>
        <w:tblW w:w="9600" w:type="dxa"/>
        <w:tblLayout w:type="fixed"/>
        <w:tblLook w:val="0600"/>
      </w:tblPr>
      <w:tblGrid>
        <w:gridCol w:w="5100"/>
        <w:gridCol w:w="900"/>
        <w:gridCol w:w="900"/>
        <w:gridCol w:w="900"/>
        <w:gridCol w:w="900"/>
        <w:gridCol w:w="900"/>
      </w:tblGrid>
      <w:tr>
        <w:tblPrEx>
          <w:tblW w:w="9600" w:type="dxa"/>
          <w:tblLayout w:type="fixed"/>
          <w:tblLook w:val="0600"/>
        </w:tblPrEx>
        <w:trPr>
          <w:trHeight w:hRule="exact" w:val="255"/>
        </w:trPr>
        <w:tc>
          <w:tcPr>
            <w:tcW w:w="51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 xml:space="preserve">25. Pircēju un pasūtītāju parādi </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51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parādi par nomas pakalpojumiem</w:t>
            </w: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276,270</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389,129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parādi no cedēšanas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12,192</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14,350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parādi par komisijas naudām</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37,590</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17,313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Pārējie debitoru parādi</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245</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51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326,297</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420,792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9600" w:type="dxa"/>
            <w:gridSpan w:val="6"/>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Pārējo debitoru parādu un ar tiem saistīto ECL uzkrājumu analīze gada beigās ir šāda:</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10"/>
        </w:trPr>
        <w:tc>
          <w:tcPr>
            <w:tcW w:w="51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2021</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Bez kavējuma</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1-30</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31-90</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&gt; 90 days</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51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parādi par nomas pakalpojumiem</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23,700</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106,391</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22,883</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835,029</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988,003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parādi no cedēšanas</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12,192</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0</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12,192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parādi par parādu komisijas naudām</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37,835</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0</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0</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0</w:t>
            </w:r>
          </w:p>
        </w:tc>
        <w:tc>
          <w:tcPr>
            <w:tcW w:w="90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37,835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Pircēju un pasūtītāju parādi kopā</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73,727</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106,391</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22,883</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835,029</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1,038,030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Nomas pakalpojumiem aprēķinātie ECL kopā</w:t>
            </w:r>
          </w:p>
        </w:tc>
        <w:tc>
          <w:tcPr>
            <w:tcW w:w="900" w:type="dxa"/>
            <w:tcBorders>
              <w:top w:val="nil"/>
              <w:left w:val="nil"/>
              <w:bottom w:val="double" w:sz="6"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(2,210)</w:t>
            </w:r>
          </w:p>
        </w:tc>
        <w:tc>
          <w:tcPr>
            <w:tcW w:w="900" w:type="dxa"/>
            <w:tcBorders>
              <w:top w:val="nil"/>
              <w:left w:val="nil"/>
              <w:bottom w:val="double" w:sz="6"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(27,736)</w:t>
            </w:r>
          </w:p>
        </w:tc>
        <w:tc>
          <w:tcPr>
            <w:tcW w:w="900" w:type="dxa"/>
            <w:tcBorders>
              <w:top w:val="nil"/>
              <w:left w:val="nil"/>
              <w:bottom w:val="double" w:sz="6"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(9,080)</w:t>
            </w:r>
          </w:p>
        </w:tc>
        <w:tc>
          <w:tcPr>
            <w:tcW w:w="900" w:type="dxa"/>
            <w:tcBorders>
              <w:top w:val="nil"/>
              <w:left w:val="nil"/>
              <w:bottom w:val="double" w:sz="6"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(672,707)</w:t>
            </w:r>
          </w:p>
        </w:tc>
        <w:tc>
          <w:tcPr>
            <w:tcW w:w="900" w:type="dxa"/>
            <w:tcBorders>
              <w:top w:val="nil"/>
              <w:left w:val="nil"/>
              <w:bottom w:val="double" w:sz="6"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(711,733)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10"/>
        </w:trPr>
        <w:tc>
          <w:tcPr>
            <w:tcW w:w="51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2020</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Bez kavējuma</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1-30</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31-90</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&gt; 90 days</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51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parādi par nomas pakalpojumiem</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94,452</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103,981</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66,354</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871,444</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1,136,231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parādi no cedēšanas</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14,350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0</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14,350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parādi par parādu komisijas naudām</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17,313</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0</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0</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105</w:t>
            </w:r>
          </w:p>
        </w:tc>
        <w:tc>
          <w:tcPr>
            <w:tcW w:w="90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17,418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Pircēju un pasūtītāju parādi kopā</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126,115</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103,981</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66,354</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871,549</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1,167,999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Nomas pakalpojumiem aprēķinātie ECL kopā</w:t>
            </w:r>
          </w:p>
        </w:tc>
        <w:tc>
          <w:tcPr>
            <w:tcW w:w="900" w:type="dxa"/>
            <w:tcBorders>
              <w:top w:val="nil"/>
              <w:left w:val="nil"/>
              <w:bottom w:val="double" w:sz="6"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(1,728)</w:t>
            </w:r>
          </w:p>
        </w:tc>
        <w:tc>
          <w:tcPr>
            <w:tcW w:w="900" w:type="dxa"/>
            <w:tcBorders>
              <w:top w:val="nil"/>
              <w:left w:val="nil"/>
              <w:bottom w:val="double" w:sz="6"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(7,868)</w:t>
            </w:r>
          </w:p>
        </w:tc>
        <w:tc>
          <w:tcPr>
            <w:tcW w:w="900" w:type="dxa"/>
            <w:tcBorders>
              <w:top w:val="nil"/>
              <w:left w:val="nil"/>
              <w:bottom w:val="double" w:sz="6"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(14,870)</w:t>
            </w:r>
          </w:p>
        </w:tc>
        <w:tc>
          <w:tcPr>
            <w:tcW w:w="900" w:type="dxa"/>
            <w:tcBorders>
              <w:top w:val="nil"/>
              <w:left w:val="nil"/>
              <w:bottom w:val="double" w:sz="6"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(722,636)</w:t>
            </w:r>
          </w:p>
        </w:tc>
        <w:tc>
          <w:tcPr>
            <w:tcW w:w="900" w:type="dxa"/>
            <w:tcBorders>
              <w:top w:val="nil"/>
              <w:left w:val="nil"/>
              <w:bottom w:val="double" w:sz="6"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(747,102)</w:t>
            </w:r>
          </w:p>
        </w:tc>
      </w:tr>
    </w:tbl>
    <w:p/>
    <w:p w:rsidR="001415E4" w:rsidP="00DC491E" w14:paraId="79E3D51B" w14:textId="1A3EC162">
      <w:pPr>
        <w:spacing w:line="360" w:lineRule="auto"/>
        <w:jc w:val="both"/>
        <w:rPr>
          <w:rFonts w:ascii="Arial Narrow" w:eastAsia="Arial Narrow" w:hAnsi="Arial Narrow" w:cs="Arial Narrow"/>
          <w:color w:val="000000" w:themeColor="text1"/>
          <w:sz w:val="16"/>
          <w:szCs w:val="16"/>
        </w:rPr>
      </w:pPr>
      <w:bookmarkStart w:id="1196" w:name="RG_MARKER_6648"/>
      <w:bookmarkStart w:id="1197" w:name="RG_MARKER_6445"/>
      <w:r w:rsidRPr="00BC123D">
        <w:rPr>
          <w:rFonts w:ascii="Arial Narrow" w:eastAsia="Arial Narrow" w:hAnsi="Arial Narrow" w:cs="Arial Narrow"/>
          <w:sz w:val="16"/>
          <w:szCs w:val="16"/>
        </w:rPr>
        <w:t>ECL cesijas un komisijas naudas debitoru parādiem pārskata perioda beigu datumā ir aplēsti, balstoties uz sagaidāmo parādu nokārtošanu. Vadība ir veikusi debitoru parādu izvērtējumu un secinājusi, ka būtiska kredītriska pieauguma nav. Debitoru parādi 2021.</w:t>
      </w:r>
      <w:bookmarkEnd w:id="1197"/>
      <w:bookmarkEnd w:id="1196"/>
      <w:r w:rsidRPr="00BC123D">
        <w:rPr>
          <w:rFonts w:ascii="Arial Narrow" w:eastAsia="Arial Narrow" w:hAnsi="Arial Narrow" w:cs="Arial Narrow"/>
          <w:sz w:val="16"/>
          <w:szCs w:val="16"/>
        </w:rPr>
        <w:t xml:space="preserve"> gada 31. decembrī tika nokārtoti neilgi pēc pārskata perioda beigu </w:t>
      </w:r>
      <w:r w:rsidRPr="00BC123D">
        <w:rPr>
          <w:rFonts w:ascii="Arial Narrow" w:eastAsia="Arial Narrow" w:hAnsi="Arial Narrow" w:cs="Arial Narrow"/>
          <w:color w:val="000000" w:themeColor="text1"/>
          <w:sz w:val="16"/>
          <w:szCs w:val="16"/>
        </w:rPr>
        <w:t>datuma. Tāpēc pārskata perioda beigu datumā nav atzīti ECL. (2020: EUR 0).</w:t>
      </w:r>
    </w:p>
    <w:p w:rsidR="001E4DA8" w:rsidP="001E4DA8" w14:paraId="41690130" w14:textId="77777777">
      <w:pPr>
        <w:spacing w:after="0" w:line="360" w:lineRule="auto"/>
        <w:jc w:val="both"/>
        <w:rPr>
          <w:rFonts w:ascii="Arial Narrow" w:eastAsia="Arial Narrow" w:hAnsi="Arial Narrow" w:cs="Arial Narrow"/>
          <w:sz w:val="16"/>
          <w:szCs w:val="16"/>
        </w:rPr>
      </w:pPr>
      <w:r>
        <w:rPr>
          <w:rFonts w:ascii="Arial Narrow" w:eastAsia="Arial Narrow" w:hAnsi="Arial Narrow" w:cs="Arial Narrow"/>
          <w:sz w:val="16"/>
          <w:szCs w:val="16"/>
        </w:rPr>
        <w:tab/>
      </w:r>
      <w:r>
        <w:rPr>
          <w:rFonts w:ascii="Arial Narrow" w:eastAsia="Arial Narrow" w:hAnsi="Arial Narrow" w:cs="Arial Narrow"/>
          <w:sz w:val="16"/>
          <w:szCs w:val="16"/>
        </w:rPr>
        <w:tab/>
      </w:r>
      <w:r>
        <w:rPr>
          <w:rFonts w:ascii="Arial Narrow" w:eastAsia="Arial Narrow" w:hAnsi="Arial Narrow" w:cs="Arial Narrow"/>
          <w:sz w:val="16"/>
          <w:szCs w:val="16"/>
        </w:rPr>
        <w:tab/>
      </w:r>
      <w:r>
        <w:rPr>
          <w:rFonts w:ascii="Arial Narrow" w:eastAsia="Arial Narrow" w:hAnsi="Arial Narrow" w:cs="Arial Narrow"/>
          <w:sz w:val="16"/>
          <w:szCs w:val="16"/>
        </w:rPr>
        <w:tab/>
      </w:r>
      <w:r>
        <w:rPr>
          <w:rFonts w:ascii="Arial Narrow" w:eastAsia="Arial Narrow" w:hAnsi="Arial Narrow" w:cs="Arial Narrow"/>
          <w:sz w:val="16"/>
          <w:szCs w:val="16"/>
        </w:rPr>
        <w:tab/>
      </w:r>
      <w:r>
        <w:rPr>
          <w:rFonts w:ascii="Arial Narrow" w:eastAsia="Arial Narrow" w:hAnsi="Arial Narrow" w:cs="Arial Narrow"/>
          <w:sz w:val="16"/>
          <w:szCs w:val="16"/>
        </w:rPr>
        <w:tab/>
      </w:r>
      <w:r>
        <w:rPr>
          <w:rFonts w:ascii="Arial Narrow" w:eastAsia="Arial Narrow" w:hAnsi="Arial Narrow" w:cs="Arial Narrow"/>
          <w:sz w:val="16"/>
          <w:szCs w:val="16"/>
        </w:rPr>
        <w:tab/>
      </w:r>
      <w:r>
        <w:rPr>
          <w:rFonts w:ascii="Arial Narrow" w:eastAsia="Arial Narrow" w:hAnsi="Arial Narrow" w:cs="Arial Narrow"/>
          <w:sz w:val="16"/>
          <w:szCs w:val="16"/>
        </w:rPr>
        <w:tab/>
      </w:r>
      <w:r>
        <w:rPr>
          <w:rFonts w:ascii="Arial Narrow" w:eastAsia="Arial Narrow" w:hAnsi="Arial Narrow" w:cs="Arial Narrow"/>
          <w:sz w:val="16"/>
          <w:szCs w:val="16"/>
        </w:rPr>
        <w:tab/>
      </w:r>
    </w:p>
    <w:p w:rsidR="001E4DA8" w:rsidP="00DC491E" w14:paraId="4AD5C536" w14:textId="1AC32B75">
      <w:pPr>
        <w:spacing w:line="360" w:lineRule="auto"/>
        <w:jc w:val="both"/>
        <w:rPr>
          <w:rFonts w:ascii="Arial Narrow" w:eastAsia="Arial Narrow" w:hAnsi="Arial Narrow" w:cs="Arial Narrow"/>
          <w:color w:val="000000" w:themeColor="text1"/>
          <w:sz w:val="16"/>
          <w:szCs w:val="16"/>
        </w:rPr>
      </w:pPr>
      <w:r w:rsidRPr="00BC123D">
        <w:rPr>
          <w:rFonts w:ascii="Arial Narrow" w:eastAsia="Arial Narrow" w:hAnsi="Arial Narrow" w:cs="Arial Narrow"/>
          <w:color w:val="000000" w:themeColor="text1"/>
          <w:sz w:val="16"/>
          <w:szCs w:val="16"/>
        </w:rPr>
        <w:t xml:space="preserve">No nomas izrietošajiem debitoru parādiem 2021. gadā ECL tika atzīti EUR 733 816 apmērā. (2020: EUR 747 102). Lai </w:t>
      </w:r>
      <w:r w:rsidRPr="00BC123D">
        <w:rPr>
          <w:rFonts w:ascii="Arial Narrow" w:eastAsia="Arial Narrow" w:hAnsi="Arial Narrow" w:cs="Arial Narrow"/>
          <w:color w:val="000000" w:themeColor="text1"/>
          <w:sz w:val="16"/>
          <w:szCs w:val="16"/>
        </w:rPr>
        <w:t>novērtētu ECL nomas līgumiem, Koncerns piemēro to pašu modeli, kas izmantots finanšu nomas portfelim un attiecīgi salīdzina PD un LGD rādītājus ar to pašu portfeli.</w:t>
      </w:r>
    </w:p>
    <w:p w:rsidR="001E4DA8" w:rsidP="001E4DA8" w14:paraId="15FE46B9" w14:textId="77777777">
      <w:pPr>
        <w:spacing w:after="0" w:line="360" w:lineRule="auto"/>
        <w:jc w:val="both"/>
        <w:rPr>
          <w:rFonts w:ascii="Arial Narrow" w:eastAsia="Arial Narrow" w:hAnsi="Arial Narrow" w:cs="Arial Narrow"/>
          <w:sz w:val="16"/>
          <w:szCs w:val="16"/>
        </w:rPr>
      </w:pPr>
      <w:r>
        <w:rPr>
          <w:rFonts w:ascii="Arial Narrow" w:eastAsia="Arial Narrow" w:hAnsi="Arial Narrow" w:cs="Arial Narrow"/>
          <w:sz w:val="16"/>
          <w:szCs w:val="16"/>
        </w:rPr>
        <w:tab/>
      </w:r>
      <w:r>
        <w:rPr>
          <w:rFonts w:ascii="Arial Narrow" w:eastAsia="Arial Narrow" w:hAnsi="Arial Narrow" w:cs="Arial Narrow"/>
          <w:sz w:val="16"/>
          <w:szCs w:val="16"/>
        </w:rPr>
        <w:tab/>
      </w:r>
      <w:r>
        <w:rPr>
          <w:rFonts w:ascii="Arial Narrow" w:eastAsia="Arial Narrow" w:hAnsi="Arial Narrow" w:cs="Arial Narrow"/>
          <w:sz w:val="16"/>
          <w:szCs w:val="16"/>
        </w:rPr>
        <w:tab/>
      </w:r>
      <w:r>
        <w:rPr>
          <w:rFonts w:ascii="Arial Narrow" w:eastAsia="Arial Narrow" w:hAnsi="Arial Narrow" w:cs="Arial Narrow"/>
          <w:sz w:val="16"/>
          <w:szCs w:val="16"/>
        </w:rPr>
        <w:tab/>
      </w:r>
      <w:r>
        <w:rPr>
          <w:rFonts w:ascii="Arial Narrow" w:eastAsia="Arial Narrow" w:hAnsi="Arial Narrow" w:cs="Arial Narrow"/>
          <w:sz w:val="16"/>
          <w:szCs w:val="16"/>
        </w:rPr>
        <w:tab/>
      </w:r>
      <w:r>
        <w:rPr>
          <w:rFonts w:ascii="Arial Narrow" w:eastAsia="Arial Narrow" w:hAnsi="Arial Narrow" w:cs="Arial Narrow"/>
          <w:sz w:val="16"/>
          <w:szCs w:val="16"/>
        </w:rPr>
        <w:tab/>
      </w:r>
      <w:r>
        <w:rPr>
          <w:rFonts w:ascii="Arial Narrow" w:eastAsia="Arial Narrow" w:hAnsi="Arial Narrow" w:cs="Arial Narrow"/>
          <w:sz w:val="16"/>
          <w:szCs w:val="16"/>
        </w:rPr>
        <w:tab/>
      </w:r>
      <w:r>
        <w:rPr>
          <w:rFonts w:ascii="Arial Narrow" w:eastAsia="Arial Narrow" w:hAnsi="Arial Narrow" w:cs="Arial Narrow"/>
          <w:sz w:val="16"/>
          <w:szCs w:val="16"/>
        </w:rPr>
        <w:tab/>
      </w:r>
      <w:r>
        <w:rPr>
          <w:rFonts w:ascii="Arial Narrow" w:eastAsia="Arial Narrow" w:hAnsi="Arial Narrow" w:cs="Arial Narrow"/>
          <w:sz w:val="16"/>
          <w:szCs w:val="16"/>
        </w:rPr>
        <w:tab/>
      </w:r>
    </w:p>
    <w:p w:rsidR="00522739" w:rsidRPr="00BC123D" w:rsidP="00DC491E" w14:textId="130350B6">
      <w:pPr>
        <w:spacing w:line="360" w:lineRule="auto"/>
        <w:jc w:val="both"/>
        <w:rPr>
          <w:rFonts w:ascii="Arial Narrow" w:eastAsia="Arial Narrow" w:hAnsi="Arial Narrow" w:cs="Arial Narrow"/>
          <w:sz w:val="16"/>
          <w:szCs w:val="16"/>
        </w:rPr>
      </w:pPr>
      <w:r w:rsidRPr="00BC123D">
        <w:rPr>
          <w:rFonts w:ascii="Arial Narrow" w:eastAsia="Arial Narrow" w:hAnsi="Arial Narrow" w:cs="Arial Narrow"/>
          <w:sz w:val="16"/>
          <w:szCs w:val="16"/>
        </w:rPr>
        <w:t>Stabila kredītvēsture nomas līgumiem nav uzskatāma par pietiekamu, tā tiek novērtēta ar pas</w:t>
      </w:r>
      <w:r w:rsidRPr="00BC123D">
        <w:rPr>
          <w:rFonts w:ascii="Arial Narrow" w:eastAsia="Arial Narrow" w:hAnsi="Arial Narrow" w:cs="Arial Narrow"/>
          <w:sz w:val="16"/>
          <w:szCs w:val="16"/>
        </w:rPr>
        <w:t>tiprinātu uzmanību Covid-19 izplatības ietekmes dēļ. Visprecīzākās ECL aplēses nomas līgumiem tiek nodrošinātas ar salīdzinošās izpētes palīdzību, jo nomas portfeļa vēsturiskie dati ir līdzīgi finanšu nomas portfeļa datiem. Nomas portfeļa operacionālie pro</w:t>
      </w:r>
      <w:r w:rsidRPr="00BC123D">
        <w:rPr>
          <w:rFonts w:ascii="Arial Narrow" w:eastAsia="Arial Narrow" w:hAnsi="Arial Narrow" w:cs="Arial Narrow"/>
          <w:sz w:val="16"/>
          <w:szCs w:val="16"/>
        </w:rPr>
        <w:t>cesi ir tādi paši vai ļoti līdzīgi finanšu nomas portfeļa procesiem.</w:t>
      </w:r>
    </w:p>
    <w:p w:rsidR="00DC491E" w:rsidP="001415E4" w14:paraId="781D01E9" w14:textId="0BDF2DC6">
      <w:pPr>
        <w:rPr>
          <w:rFonts w:ascii="Arial Narrow" w:eastAsia="Arial Narrow" w:hAnsi="Arial Narrow" w:cs="Arial Narrow"/>
          <w:sz w:val="14"/>
          <w:szCs w:val="14"/>
        </w:rPr>
      </w:pPr>
    </w:p>
    <w:p w:rsidR="00DC491E" w:rsidRPr="001415E4" w:rsidP="001415E4" w14:paraId="0BEBCE96" w14:textId="77777777">
      <w:pPr>
        <w:rPr>
          <w:rFonts w:ascii="Arial Narrow" w:eastAsia="Arial Narrow" w:hAnsi="Arial Narrow" w:cs="Arial Narrow"/>
        </w:rPr>
      </w:pPr>
      <w:r>
        <w:t xml:space="preserve"> </w:t>
      </w:r>
    </w:p>
    <w:tbl>
      <w:tblPr>
        <w:tblStyle w:val="CDMRange1"/>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26. Citi debitori</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parāds par finansējuma piesaisti, izmantojot P2P platformu*</w:t>
            </w:r>
            <w:r>
              <w:rPr>
                <w:rFonts w:ascii="Arial Narrow" w:eastAsia="Arial Narrow" w:hAnsi="Arial Narrow" w:cs="Arial Narrow"/>
                <w:b w:val="0"/>
                <w:i w:val="0"/>
                <w:strike w:val="0"/>
                <w:color w:val="000000"/>
                <w:sz w:val="16"/>
                <w:u w:val="none"/>
                <w:vertAlign w:val="baseline"/>
              </w:rPr>
              <w:t xml:space="preserve"> (31. piezīme)</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242,474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Avansa maksājumi par precēm un pakalpojumiem</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14,093</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8,754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Drošības nauda par biroja īri </w:t>
            </w:r>
            <w:r>
              <w:rPr>
                <w:rFonts w:ascii="Arial Narrow" w:eastAsia="Arial Narrow" w:hAnsi="Arial Narrow" w:cs="Arial Narrow"/>
                <w:b w:val="0"/>
                <w:i w:val="0"/>
                <w:strike w:val="0"/>
                <w:color w:val="000000"/>
                <w:sz w:val="16"/>
                <w:u w:val="none"/>
                <w:vertAlign w:val="baseline"/>
              </w:rPr>
              <w:t>(18. piezīme)</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22,179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Citi debitori</w:t>
            </w: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26,546</w:t>
            </w: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20,554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900" w:type="dxa"/>
            <w:tcBorders>
              <w:top w:val="single" w:sz="4" w:space="0" w:color="000000"/>
              <w:left w:val="nil"/>
              <w:bottom w:val="double" w:sz="6" w:space="0" w:color="000000"/>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40,639</w:t>
            </w:r>
          </w:p>
        </w:tc>
        <w:tc>
          <w:tcPr>
            <w:tcW w:w="900" w:type="dxa"/>
            <w:tcBorders>
              <w:top w:val="single" w:sz="4" w:space="0" w:color="000000"/>
              <w:left w:val="nil"/>
              <w:bottom w:val="double" w:sz="6" w:space="0" w:color="000000"/>
              <w:right w:val="nil"/>
              <w:tl2br w:val="nil"/>
              <w:tr2bl w:val="nil"/>
            </w:tcBorders>
            <w:shd w:val="clear" w:color="FFFFFF" w:fill="DEEBF7"/>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293,961</w:t>
            </w:r>
          </w:p>
        </w:tc>
      </w:tr>
    </w:tbl>
    <w:p/>
    <w:p w:rsidR="00CB401E" w:rsidRPr="006E12EB" w:rsidP="0054446E" w14:paraId="07FF93B5" w14:textId="50121CCB">
      <w:pPr>
        <w:spacing w:line="360" w:lineRule="auto"/>
        <w:jc w:val="both"/>
        <w:rPr>
          <w:rFonts w:ascii="Arial Narrow" w:eastAsia="Arial Narrow" w:hAnsi="Arial Narrow" w:cs="Arial Narrow"/>
          <w:sz w:val="16"/>
          <w:szCs w:val="16"/>
          <w:lang w:val="lv-LV"/>
        </w:rPr>
      </w:pPr>
      <w:bookmarkStart w:id="1198" w:name="RG_MARKER_6649"/>
      <w:bookmarkStart w:id="1199" w:name="RG_MARKER_6446"/>
      <w:r w:rsidRPr="006E12EB">
        <w:rPr>
          <w:rFonts w:ascii="Arial Narrow" w:eastAsia="Arial Narrow" w:hAnsi="Arial Narrow" w:cs="Arial Narrow"/>
          <w:sz w:val="16"/>
          <w:szCs w:val="16"/>
          <w:lang w:val="lv-LV"/>
        </w:rPr>
        <w:t>*</w:t>
      </w:r>
      <w:bookmarkEnd w:id="1199"/>
      <w:bookmarkEnd w:id="1198"/>
      <w:r w:rsidRPr="006E12EB">
        <w:rPr>
          <w:rFonts w:ascii="Arial Narrow" w:eastAsia="Arial Narrow" w:hAnsi="Arial Narrow" w:cs="Arial Narrow"/>
          <w:sz w:val="16"/>
          <w:szCs w:val="16"/>
          <w:lang w:val="lv-LV"/>
        </w:rPr>
        <w:t>Saistībā ar mazāku P2P platformā izsniegto kredītu skaitu 2021. gada 31. decembrī salīdzinot pret 2020. gada 31. decembri, Koncernam bija izveidojušies debitoru parādi no P2P platformas 2020. gada 31. decembrī. Sakarā ar vairāk atpirkto aizdevumu no P2P platformas, Koncernam ir izveidojušies kreditoru parādi ar P2P platformu 2021. gada 31. decembrī. Skatīt 34. piezīmi.</w:t>
      </w:r>
    </w:p>
    <w:tbl>
      <w:tblPr>
        <w:tblStyle w:val="CDMRange2"/>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pageBreakBefore/>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27. Līguma aktīvi</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Līguma aktīvi no nomas pakalpojumiem</w:t>
            </w: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236,817</w:t>
            </w: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274,954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Līguma aktīvi no saistītām pusēm</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(22,083)</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Accrued revenue from other debtors</w:t>
            </w: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256,327</w:t>
            </w: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95,994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900" w:type="dxa"/>
            <w:tcBorders>
              <w:top w:val="single" w:sz="4" w:space="0" w:color="000000"/>
              <w:left w:val="nil"/>
              <w:bottom w:val="double" w:sz="6" w:space="0" w:color="000000"/>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471,061</w:t>
            </w:r>
          </w:p>
        </w:tc>
        <w:tc>
          <w:tcPr>
            <w:tcW w:w="900" w:type="dxa"/>
            <w:tcBorders>
              <w:top w:val="single" w:sz="4" w:space="0" w:color="000000"/>
              <w:left w:val="nil"/>
              <w:bottom w:val="double" w:sz="6" w:space="0" w:color="000000"/>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370,948</w:t>
            </w:r>
          </w:p>
        </w:tc>
      </w:tr>
    </w:tbl>
    <w:p/>
    <w:p w:rsidR="00443290" w:rsidRPr="006D29B7" w:rsidP="00F57702" w14:paraId="7913918E" w14:textId="518CAD8C">
      <w:pPr>
        <w:spacing w:line="360" w:lineRule="auto"/>
        <w:jc w:val="both"/>
        <w:rPr>
          <w:rFonts w:ascii="Arial Narrow" w:eastAsia="Arial Narrow" w:hAnsi="Arial Narrow" w:cs="Arial Narrow"/>
          <w:sz w:val="16"/>
          <w:szCs w:val="16"/>
          <w:lang w:val="lv-LV"/>
        </w:rPr>
      </w:pPr>
      <w:bookmarkStart w:id="1200" w:name="RG_MARKER_6650"/>
      <w:bookmarkStart w:id="1201" w:name="RG_MARKER_6562"/>
      <w:r w:rsidRPr="006D29B7">
        <w:rPr>
          <w:rFonts w:ascii="Arial Narrow" w:eastAsia="Arial Narrow" w:hAnsi="Arial Narrow" w:cs="Arial Narrow"/>
          <w:sz w:val="16"/>
          <w:szCs w:val="16"/>
          <w:lang w:val="lv-LV"/>
        </w:rPr>
        <w:t xml:space="preserve">Lielāko daļu rēķinu izraksta pēc gada beigām un debitoru parādi par šiem rēķiniem ir samaksāti, izņemot EUR </w:t>
      </w:r>
      <w:bookmarkEnd w:id="1201"/>
      <w:bookmarkEnd w:id="1200"/>
      <w:r w:rsidRPr="006D29B7">
        <w:rPr>
          <w:rFonts w:ascii="Arial Narrow" w:eastAsia="Arial Narrow" w:hAnsi="Arial Narrow" w:cs="Arial Narrow"/>
          <w:sz w:val="16"/>
          <w:szCs w:val="16"/>
          <w:lang w:val="lv-LV"/>
        </w:rPr>
        <w:t>227 047</w:t>
      </w:r>
      <w:r w:rsidRPr="006D29B7">
        <w:rPr>
          <w:rFonts w:ascii="Arial Narrow" w:eastAsia="Arial Narrow" w:hAnsi="Arial Narrow" w:cs="Arial Narrow"/>
          <w:sz w:val="16"/>
          <w:szCs w:val="16"/>
          <w:lang w:val="lv-LV"/>
        </w:rPr>
        <w:t xml:space="preserve"> (20</w:t>
      </w:r>
      <w:r w:rsidRPr="006D29B7">
        <w:rPr>
          <w:rFonts w:ascii="Arial Narrow" w:eastAsia="Arial Narrow" w:hAnsi="Arial Narrow" w:cs="Arial Narrow"/>
          <w:sz w:val="16"/>
          <w:szCs w:val="16"/>
          <w:lang w:val="lv-LV"/>
        </w:rPr>
        <w:t>20</w:t>
      </w:r>
      <w:r w:rsidRPr="006D29B7">
        <w:rPr>
          <w:rFonts w:ascii="Arial Narrow" w:eastAsia="Arial Narrow" w:hAnsi="Arial Narrow" w:cs="Arial Narrow"/>
          <w:sz w:val="16"/>
          <w:szCs w:val="16"/>
          <w:lang w:val="lv-LV"/>
        </w:rPr>
        <w:t>. gadā: 51 791</w:t>
      </w:r>
      <w:r w:rsidRPr="006D29B7">
        <w:rPr>
          <w:rFonts w:ascii="Arial Narrow" w:eastAsia="Arial Narrow" w:hAnsi="Arial Narrow" w:cs="Arial Narrow"/>
          <w:sz w:val="16"/>
          <w:szCs w:val="16"/>
          <w:lang w:val="lv-LV"/>
        </w:rPr>
        <w:t xml:space="preserve">), ko veido līguma aktīvs no saistītās puses AS “Primero Finance”, kas izveidojies, atzīstot mainīgo atlīdzību. </w:t>
      </w:r>
    </w:p>
    <w:p w:rsidR="00D955E9" w:rsidRPr="006D29B7" w:rsidP="00F57702" w14:paraId="76D4DDEE" w14:textId="328ED33F">
      <w:pPr>
        <w:spacing w:line="360" w:lineRule="auto"/>
        <w:jc w:val="both"/>
        <w:rPr>
          <w:rFonts w:ascii="Arial Narrow" w:eastAsia="Arial Narrow" w:hAnsi="Arial Narrow" w:cs="Arial Narrow"/>
          <w:sz w:val="16"/>
          <w:szCs w:val="16"/>
          <w:lang w:val="lv-LV"/>
        </w:rPr>
      </w:pPr>
      <w:r w:rsidRPr="006D29B7">
        <w:rPr>
          <w:rFonts w:ascii="Arial Narrow" w:eastAsia="Arial Narrow" w:hAnsi="Arial Narrow" w:cs="Arial Narrow"/>
          <w:sz w:val="16"/>
          <w:szCs w:val="16"/>
          <w:lang w:val="lv-LV"/>
        </w:rPr>
        <w:t xml:space="preserve">Būtisku parādu </w:t>
      </w:r>
      <w:r w:rsidRPr="006D29B7">
        <w:rPr>
          <w:rFonts w:ascii="Arial Narrow" w:eastAsia="Arial Narrow" w:hAnsi="Arial Narrow" w:cs="Arial Narrow"/>
          <w:sz w:val="16"/>
          <w:szCs w:val="16"/>
          <w:lang w:val="lv-LV"/>
        </w:rPr>
        <w:t>atgūstamību</w:t>
      </w:r>
      <w:r w:rsidRPr="006D29B7">
        <w:rPr>
          <w:rFonts w:ascii="Arial Narrow" w:eastAsia="Arial Narrow" w:hAnsi="Arial Narrow" w:cs="Arial Narrow"/>
          <w:sz w:val="16"/>
          <w:szCs w:val="16"/>
          <w:lang w:val="lv-LV"/>
        </w:rPr>
        <w:t xml:space="preserve"> Koncerns izvērtē individuāli. Lēmumu par līguma aktīvu finanšu rezultātu novērtējumu Koncerna vadība pieņem individuālā kārtā, atspoguļojot informāciju, kas ir pieejama par konkrētu līguma aktīvu, un būtisku kredītriska pieaugumu. Gada beigās ECL ir arī novērtēti, pamatojoties uz paredzamajiem norēķiniem. Līguma aktīviem, par kuriem norēķini tiek veikti neilgi pēc pārskata perioda beigām, ECL nav atzīts, izņemot Līguma aktīvus no nomas pakalpojumiem, kam ECL atzīts EUR 22 083 apmērā 31.12.2021. (2020: EUR 0)</w:t>
      </w:r>
    </w:p>
    <w:p w:rsidR="00D955E9" w:rsidRPr="00F57702" w:rsidP="00F57702" w14:paraId="0A32AB57" w14:textId="77777777">
      <w:pPr>
        <w:spacing w:line="360" w:lineRule="auto"/>
        <w:jc w:val="both"/>
        <w:rPr>
          <w:rFonts w:ascii="Arial Narrow" w:eastAsia="Arial Narrow" w:hAnsi="Arial Narrow" w:cs="Arial Narrow"/>
          <w:color w:val="FF0000"/>
          <w:sz w:val="16"/>
          <w:szCs w:val="16"/>
        </w:rPr>
      </w:pPr>
      <w:r>
        <w:t xml:space="preserve"> </w:t>
      </w:r>
    </w:p>
    <w:tbl>
      <w:tblPr>
        <w:tblStyle w:val="CDMRange1"/>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28. Nauda un naudas ekvivalenti</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Nauda bankā</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391,548</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160,318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Nauda kasē*</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12,264</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403,812</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160,318</w:t>
            </w:r>
          </w:p>
        </w:tc>
      </w:tr>
    </w:tbl>
    <w:p/>
    <w:p w:rsidR="0051056E" w:rsidP="000A1C03" w14:paraId="44FAAF87" w14:textId="493E0CC6">
      <w:pPr>
        <w:spacing w:line="360" w:lineRule="auto"/>
        <w:jc w:val="both"/>
        <w:rPr>
          <w:rFonts w:ascii="Arial Narrow" w:eastAsia="Arial Narrow" w:hAnsi="Arial Narrow" w:cs="Arial Narrow"/>
          <w:sz w:val="16"/>
          <w:szCs w:val="16"/>
        </w:rPr>
      </w:pPr>
      <w:bookmarkStart w:id="1202" w:name="RG_MARKER_6651"/>
      <w:bookmarkStart w:id="1203" w:name="RG_MARKER_6447"/>
      <w:r w:rsidRPr="000A1C03">
        <w:rPr>
          <w:rFonts w:ascii="Arial Narrow" w:eastAsia="Arial Narrow" w:hAnsi="Arial Narrow" w:cs="Arial Narrow"/>
          <w:sz w:val="16"/>
          <w:szCs w:val="16"/>
        </w:rPr>
        <w:t>Šim</w:t>
      </w:r>
      <w:bookmarkEnd w:id="1203"/>
      <w:bookmarkEnd w:id="1202"/>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finanšu</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aktīvam</w:t>
      </w:r>
      <w:r w:rsidRPr="000A1C03">
        <w:rPr>
          <w:rFonts w:ascii="Arial Narrow" w:eastAsia="Arial Narrow" w:hAnsi="Arial Narrow" w:cs="Arial Narrow"/>
          <w:sz w:val="16"/>
          <w:szCs w:val="16"/>
        </w:rPr>
        <w:t xml:space="preserve"> 31.12.202</w:t>
      </w:r>
      <w:r>
        <w:rPr>
          <w:rFonts w:ascii="Arial Narrow" w:eastAsia="Arial Narrow" w:hAnsi="Arial Narrow" w:cs="Arial Narrow"/>
          <w:sz w:val="16"/>
          <w:szCs w:val="16"/>
        </w:rPr>
        <w:t>1</w:t>
      </w:r>
      <w:r w:rsidRPr="000A1C03">
        <w:rPr>
          <w:rFonts w:ascii="Arial Narrow" w:eastAsia="Arial Narrow" w:hAnsi="Arial Narrow" w:cs="Arial Narrow"/>
          <w:sz w:val="16"/>
          <w:szCs w:val="16"/>
        </w:rPr>
        <w:t xml:space="preserve">. nav </w:t>
      </w:r>
      <w:r w:rsidRPr="000A1C03">
        <w:rPr>
          <w:rFonts w:ascii="Arial Narrow" w:eastAsia="Arial Narrow" w:hAnsi="Arial Narrow" w:cs="Arial Narrow"/>
          <w:sz w:val="16"/>
          <w:szCs w:val="16"/>
        </w:rPr>
        <w:t>atzīts</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vērtības</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samazinājums</w:t>
      </w:r>
      <w:r w:rsidRPr="000A1C03">
        <w:rPr>
          <w:rFonts w:ascii="Arial Narrow" w:eastAsia="Arial Narrow" w:hAnsi="Arial Narrow" w:cs="Arial Narrow"/>
          <w:sz w:val="16"/>
          <w:szCs w:val="16"/>
        </w:rPr>
        <w:t>. (31.12.20</w:t>
      </w:r>
      <w:r>
        <w:rPr>
          <w:rFonts w:ascii="Arial Narrow" w:eastAsia="Arial Narrow" w:hAnsi="Arial Narrow" w:cs="Arial Narrow"/>
          <w:sz w:val="16"/>
          <w:szCs w:val="16"/>
        </w:rPr>
        <w:t>20</w:t>
      </w:r>
      <w:r w:rsidRPr="000A1C03">
        <w:rPr>
          <w:rFonts w:ascii="Arial Narrow" w:eastAsia="Arial Narrow" w:hAnsi="Arial Narrow" w:cs="Arial Narrow"/>
          <w:sz w:val="16"/>
          <w:szCs w:val="16"/>
        </w:rPr>
        <w:t>.: 0 EUR).</w:t>
      </w:r>
    </w:p>
    <w:p w:rsidR="0051056E" w:rsidP="000A1C03" w14:paraId="602CB61E" w14:textId="376B2182">
      <w:pPr>
        <w:spacing w:line="360" w:lineRule="auto"/>
        <w:jc w:val="both"/>
        <w:rPr>
          <w:rFonts w:ascii="Arial Narrow" w:eastAsia="Arial Narrow" w:hAnsi="Arial Narrow" w:cs="Arial Narrow"/>
          <w:sz w:val="16"/>
          <w:szCs w:val="16"/>
        </w:rPr>
      </w:pPr>
      <w:r w:rsidRPr="000A1C03">
        <w:rPr>
          <w:rFonts w:ascii="Arial Narrow" w:eastAsia="Arial Narrow" w:hAnsi="Arial Narrow" w:cs="Arial Narrow"/>
          <w:sz w:val="16"/>
          <w:szCs w:val="16"/>
        </w:rPr>
        <w:t>*</w:t>
      </w:r>
      <w:r w:rsidRPr="000A1C03">
        <w:rPr>
          <w:rFonts w:ascii="Arial Narrow" w:eastAsia="Arial Narrow" w:hAnsi="Arial Narrow" w:cs="Arial Narrow"/>
          <w:sz w:val="16"/>
          <w:szCs w:val="16"/>
        </w:rPr>
        <w:t>Nauda</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kasē</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atrodas</w:t>
      </w:r>
      <w:r w:rsidRPr="000A1C03">
        <w:rPr>
          <w:rFonts w:ascii="Arial Narrow" w:eastAsia="Arial Narrow" w:hAnsi="Arial Narrow" w:cs="Arial Narrow"/>
          <w:sz w:val="16"/>
          <w:szCs w:val="16"/>
        </w:rPr>
        <w:t xml:space="preserve"> </w:t>
      </w:r>
      <w:r w:rsidRPr="00A35431">
        <w:rPr>
          <w:rFonts w:ascii="Arial Narrow" w:eastAsia="Arial Narrow" w:hAnsi="Arial Narrow" w:cs="Arial Narrow"/>
          <w:sz w:val="16"/>
          <w:szCs w:val="16"/>
        </w:rPr>
        <w:t>Klientu</w:t>
      </w:r>
      <w:r w:rsidRPr="00A35431">
        <w:rPr>
          <w:rFonts w:ascii="Arial Narrow" w:eastAsia="Arial Narrow" w:hAnsi="Arial Narrow" w:cs="Arial Narrow"/>
          <w:sz w:val="16"/>
          <w:szCs w:val="16"/>
        </w:rPr>
        <w:t xml:space="preserve"> </w:t>
      </w:r>
      <w:r w:rsidRPr="00A35431">
        <w:rPr>
          <w:rFonts w:ascii="Arial Narrow" w:eastAsia="Arial Narrow" w:hAnsi="Arial Narrow" w:cs="Arial Narrow"/>
          <w:sz w:val="16"/>
          <w:szCs w:val="16"/>
        </w:rPr>
        <w:t>apkalpošanas</w:t>
      </w:r>
      <w:r w:rsidRPr="00A35431">
        <w:rPr>
          <w:rFonts w:ascii="Arial Narrow" w:eastAsia="Arial Narrow" w:hAnsi="Arial Narrow" w:cs="Arial Narrow"/>
          <w:sz w:val="16"/>
          <w:szCs w:val="16"/>
        </w:rPr>
        <w:t xml:space="preserve"> </w:t>
      </w:r>
      <w:r w:rsidRPr="00A35431">
        <w:rPr>
          <w:rFonts w:ascii="Arial Narrow" w:eastAsia="Arial Narrow" w:hAnsi="Arial Narrow" w:cs="Arial Narrow"/>
          <w:sz w:val="16"/>
          <w:szCs w:val="16"/>
        </w:rPr>
        <w:t>centrā</w:t>
      </w:r>
      <w:r>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ar</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mērķi</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nodrošināt</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ikdienas</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darījumus</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skaidrā</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naudā</w:t>
      </w:r>
      <w:r w:rsidRPr="000A1C03">
        <w:rPr>
          <w:rFonts w:ascii="Arial Narrow" w:eastAsia="Arial Narrow" w:hAnsi="Arial Narrow" w:cs="Arial Narrow"/>
          <w:sz w:val="16"/>
          <w:szCs w:val="16"/>
        </w:rPr>
        <w:t>.</w:t>
      </w:r>
    </w:p>
    <w:p w:rsidR="00CB401E" w:rsidRPr="000A1C03" w:rsidP="000A1C03" w14:textId="7AF2B1E5">
      <w:pPr>
        <w:spacing w:line="360" w:lineRule="auto"/>
        <w:jc w:val="both"/>
        <w:rPr>
          <w:rFonts w:ascii="Arial Narrow" w:eastAsia="Arial Narrow" w:hAnsi="Arial Narrow" w:cs="Arial Narrow"/>
          <w:sz w:val="16"/>
          <w:szCs w:val="16"/>
        </w:rPr>
      </w:pPr>
      <w:r w:rsidRPr="000A1C03">
        <w:rPr>
          <w:rFonts w:ascii="Arial Narrow" w:eastAsia="Arial Narrow" w:hAnsi="Arial Narrow" w:cs="Arial Narrow"/>
          <w:sz w:val="16"/>
          <w:szCs w:val="16"/>
        </w:rPr>
        <w:t>Koncerns</w:t>
      </w:r>
      <w:r w:rsidRPr="000A1C03">
        <w:rPr>
          <w:rFonts w:ascii="Arial Narrow" w:eastAsia="Arial Narrow" w:hAnsi="Arial Narrow" w:cs="Arial Narrow"/>
          <w:sz w:val="16"/>
          <w:szCs w:val="16"/>
        </w:rPr>
        <w:t xml:space="preserve"> nav </w:t>
      </w:r>
      <w:r w:rsidRPr="000A1C03">
        <w:rPr>
          <w:rFonts w:ascii="Arial Narrow" w:eastAsia="Arial Narrow" w:hAnsi="Arial Narrow" w:cs="Arial Narrow"/>
          <w:sz w:val="16"/>
          <w:szCs w:val="16"/>
        </w:rPr>
        <w:t>izveidojis</w:t>
      </w:r>
      <w:r w:rsidRPr="000A1C03">
        <w:rPr>
          <w:rFonts w:ascii="Arial Narrow" w:eastAsia="Arial Narrow" w:hAnsi="Arial Narrow" w:cs="Arial Narrow"/>
          <w:sz w:val="16"/>
          <w:szCs w:val="16"/>
        </w:rPr>
        <w:t xml:space="preserve"> ECL </w:t>
      </w:r>
      <w:r w:rsidRPr="000A1C03">
        <w:rPr>
          <w:rFonts w:ascii="Arial Narrow" w:eastAsia="Arial Narrow" w:hAnsi="Arial Narrow" w:cs="Arial Narrow"/>
          <w:sz w:val="16"/>
          <w:szCs w:val="16"/>
        </w:rPr>
        <w:t>uzkrājumus</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naudai</w:t>
      </w:r>
      <w:r w:rsidRPr="000A1C03">
        <w:rPr>
          <w:rFonts w:ascii="Arial Narrow" w:eastAsia="Arial Narrow" w:hAnsi="Arial Narrow" w:cs="Arial Narrow"/>
          <w:sz w:val="16"/>
          <w:szCs w:val="16"/>
        </w:rPr>
        <w:t xml:space="preserve"> un </w:t>
      </w:r>
      <w:r w:rsidRPr="000A1C03">
        <w:rPr>
          <w:rFonts w:ascii="Arial Narrow" w:eastAsia="Arial Narrow" w:hAnsi="Arial Narrow" w:cs="Arial Narrow"/>
          <w:sz w:val="16"/>
          <w:szCs w:val="16"/>
        </w:rPr>
        <w:t>naudas</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ekvivalentiem</w:t>
      </w:r>
      <w:r w:rsidRPr="000A1C03">
        <w:rPr>
          <w:rFonts w:ascii="Arial Narrow" w:eastAsia="Arial Narrow" w:hAnsi="Arial Narrow" w:cs="Arial Narrow"/>
          <w:sz w:val="16"/>
          <w:szCs w:val="16"/>
        </w:rPr>
        <w:t xml:space="preserve">, jo </w:t>
      </w:r>
      <w:r w:rsidRPr="000A1C03">
        <w:rPr>
          <w:rFonts w:ascii="Arial Narrow" w:eastAsia="Arial Narrow" w:hAnsi="Arial Narrow" w:cs="Arial Narrow"/>
          <w:sz w:val="16"/>
          <w:szCs w:val="16"/>
        </w:rPr>
        <w:t>noguldījumi</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bankās</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ir</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īstermiņa</w:t>
      </w:r>
      <w:r w:rsidRPr="000A1C03">
        <w:rPr>
          <w:rFonts w:ascii="Arial Narrow" w:eastAsia="Arial Narrow" w:hAnsi="Arial Narrow" w:cs="Arial Narrow"/>
          <w:sz w:val="16"/>
          <w:szCs w:val="16"/>
        </w:rPr>
        <w:t xml:space="preserve"> un </w:t>
      </w:r>
      <w:r w:rsidRPr="000A1C03">
        <w:rPr>
          <w:rFonts w:ascii="Arial Narrow" w:eastAsia="Arial Narrow" w:hAnsi="Arial Narrow" w:cs="Arial Narrow"/>
          <w:sz w:val="16"/>
          <w:szCs w:val="16"/>
        </w:rPr>
        <w:t>šo</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aktīvu</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dzīvescikls</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saskaņā</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ar</w:t>
      </w:r>
      <w:r w:rsidRPr="000A1C03">
        <w:rPr>
          <w:rFonts w:ascii="Arial Narrow" w:eastAsia="Arial Narrow" w:hAnsi="Arial Narrow" w:cs="Arial Narrow"/>
          <w:sz w:val="16"/>
          <w:szCs w:val="16"/>
        </w:rPr>
        <w:t xml:space="preserve"> SFPS Nr.9 </w:t>
      </w:r>
      <w:r w:rsidRPr="000A1C03">
        <w:rPr>
          <w:rFonts w:ascii="Arial Narrow" w:eastAsia="Arial Narrow" w:hAnsi="Arial Narrow" w:cs="Arial Narrow"/>
          <w:sz w:val="16"/>
          <w:szCs w:val="16"/>
        </w:rPr>
        <w:t>ir</w:t>
      </w:r>
      <w:r w:rsidRPr="000A1C03">
        <w:rPr>
          <w:rFonts w:ascii="Arial Narrow" w:eastAsia="Arial Narrow" w:hAnsi="Arial Narrow" w:cs="Arial Narrow"/>
          <w:sz w:val="16"/>
          <w:szCs w:val="16"/>
        </w:rPr>
        <w:t xml:space="preserve"> tik </w:t>
      </w:r>
      <w:r w:rsidRPr="000A1C03">
        <w:rPr>
          <w:rFonts w:ascii="Arial Narrow" w:eastAsia="Arial Narrow" w:hAnsi="Arial Narrow" w:cs="Arial Narrow"/>
          <w:sz w:val="16"/>
          <w:szCs w:val="16"/>
        </w:rPr>
        <w:t>īss</w:t>
      </w:r>
      <w:r w:rsidRPr="000A1C03">
        <w:rPr>
          <w:rFonts w:ascii="Arial Narrow" w:eastAsia="Arial Narrow" w:hAnsi="Arial Narrow" w:cs="Arial Narrow"/>
          <w:sz w:val="16"/>
          <w:szCs w:val="16"/>
        </w:rPr>
        <w:t xml:space="preserve">, ka, </w:t>
      </w:r>
      <w:r w:rsidRPr="000A1C03">
        <w:rPr>
          <w:rFonts w:ascii="Arial Narrow" w:eastAsia="Arial Narrow" w:hAnsi="Arial Narrow" w:cs="Arial Narrow"/>
          <w:sz w:val="16"/>
          <w:szCs w:val="16"/>
        </w:rPr>
        <w:t>ņemot</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vērā</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zemo</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saistību</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neizpildes</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varbūtību</w:t>
      </w:r>
      <w:r w:rsidRPr="000A1C03">
        <w:rPr>
          <w:rFonts w:ascii="Arial Narrow" w:eastAsia="Arial Narrow" w:hAnsi="Arial Narrow" w:cs="Arial Narrow"/>
          <w:sz w:val="16"/>
          <w:szCs w:val="16"/>
        </w:rPr>
        <w:t xml:space="preserve">, ECL </w:t>
      </w:r>
      <w:r w:rsidRPr="000A1C03">
        <w:rPr>
          <w:rFonts w:ascii="Arial Narrow" w:eastAsia="Arial Narrow" w:hAnsi="Arial Narrow" w:cs="Arial Narrow"/>
          <w:sz w:val="16"/>
          <w:szCs w:val="16"/>
        </w:rPr>
        <w:t>apjoms</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būtu</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nebūtisks</w:t>
      </w:r>
      <w:r w:rsidRPr="000A1C03">
        <w:rPr>
          <w:rFonts w:ascii="Arial Narrow" w:eastAsia="Arial Narrow" w:hAnsi="Arial Narrow" w:cs="Arial Narrow"/>
          <w:sz w:val="16"/>
          <w:szCs w:val="16"/>
        </w:rPr>
        <w:t xml:space="preserve"> (20</w:t>
      </w:r>
      <w:r>
        <w:rPr>
          <w:rFonts w:ascii="Arial Narrow" w:eastAsia="Arial Narrow" w:hAnsi="Arial Narrow" w:cs="Arial Narrow"/>
          <w:sz w:val="16"/>
          <w:szCs w:val="16"/>
        </w:rPr>
        <w:t>20</w:t>
      </w:r>
      <w:r w:rsidRPr="000A1C03">
        <w:rPr>
          <w:rFonts w:ascii="Arial Narrow" w:eastAsia="Arial Narrow" w:hAnsi="Arial Narrow" w:cs="Arial Narrow"/>
          <w:sz w:val="16"/>
          <w:szCs w:val="16"/>
        </w:rPr>
        <w:t xml:space="preserve">. </w:t>
      </w:r>
      <w:r w:rsidRPr="000A1C03">
        <w:rPr>
          <w:rFonts w:ascii="Arial Narrow" w:eastAsia="Arial Narrow" w:hAnsi="Arial Narrow" w:cs="Arial Narrow"/>
          <w:sz w:val="16"/>
          <w:szCs w:val="16"/>
        </w:rPr>
        <w:t>gadā</w:t>
      </w:r>
      <w:r w:rsidRPr="000A1C03">
        <w:rPr>
          <w:rFonts w:ascii="Arial Narrow" w:eastAsia="Arial Narrow" w:hAnsi="Arial Narrow" w:cs="Arial Narrow"/>
          <w:sz w:val="16"/>
          <w:szCs w:val="16"/>
        </w:rPr>
        <w:t>: EUR 0).</w:t>
      </w:r>
    </w:p>
    <w:p/>
    <w:p w:rsidR="00763933" w:rsidRPr="00443EFD" w:rsidP="00443EFD" w14:paraId="573D7E38" w14:textId="0F67818E">
      <w:pPr>
        <w:spacing w:line="360" w:lineRule="auto"/>
        <w:jc w:val="both"/>
        <w:rPr>
          <w:rFonts w:ascii="Arial Narrow" w:eastAsia="Arial Narrow" w:hAnsi="Arial Narrow" w:cs="Arial Narrow"/>
          <w:b/>
          <w:bCs/>
          <w:sz w:val="16"/>
          <w:szCs w:val="16"/>
        </w:rPr>
      </w:pPr>
      <w:bookmarkStart w:id="1204" w:name="RG_MARKER_6652"/>
      <w:bookmarkStart w:id="1205" w:name="RG_MARKER_6449"/>
      <w:r w:rsidRPr="001C65AF">
        <w:rPr>
          <w:rFonts w:ascii="Arial Narrow" w:eastAsia="Arial Narrow" w:hAnsi="Arial Narrow" w:cs="Arial Narrow"/>
          <w:b/>
          <w:bCs/>
          <w:sz w:val="16"/>
          <w:szCs w:val="16"/>
        </w:rPr>
        <w:t>29</w:t>
      </w:r>
      <w:bookmarkEnd w:id="1205"/>
      <w:bookmarkEnd w:id="1204"/>
      <w:r w:rsidRPr="00443EFD">
        <w:rPr>
          <w:rFonts w:ascii="Arial Narrow" w:eastAsia="Arial Narrow" w:hAnsi="Arial Narrow" w:cs="Arial Narrow"/>
          <w:b/>
          <w:bCs/>
          <w:sz w:val="16"/>
          <w:szCs w:val="16"/>
        </w:rPr>
        <w:t>. Akciju kapitāls</w:t>
      </w:r>
    </w:p>
    <w:p w:rsidR="00DA2AF1" w:rsidP="00DC25AE" w14:paraId="6EBF7F58" w14:textId="328F1703">
      <w:pPr>
        <w:spacing w:after="0" w:line="360" w:lineRule="auto"/>
        <w:jc w:val="both"/>
        <w:rPr>
          <w:rFonts w:ascii="Arial Narrow" w:eastAsia="Arial Narrow" w:hAnsi="Arial Narrow" w:cs="Arial Narrow"/>
          <w:sz w:val="16"/>
          <w:szCs w:val="16"/>
          <w:lang w:val="lv-LV"/>
        </w:rPr>
      </w:pPr>
      <w:r w:rsidRPr="00DA2AF1">
        <w:rPr>
          <w:rFonts w:ascii="Arial Narrow" w:eastAsia="Arial Narrow" w:hAnsi="Arial Narrow" w:cs="Arial Narrow"/>
          <w:sz w:val="16"/>
          <w:szCs w:val="16"/>
          <w:lang w:val="lv-LV"/>
        </w:rPr>
        <w:t>Mātes sabiedrības pamatkapitāls 2021. gada 1. janvārī bija 5 000 000 eiro un sastāvēja no 5 000 000 akcijām. 2021. gada 29. oktobrī notikušajā akcionāru sapulcē tika nolemts samazināt pamatkapitālu par EUR 4 575 000. Sabiedrības pamatkapitāls 2021. gada 31</w:t>
      </w:r>
      <w:r w:rsidRPr="00DA2AF1">
        <w:rPr>
          <w:rFonts w:ascii="Arial Narrow" w:eastAsia="Arial Narrow" w:hAnsi="Arial Narrow" w:cs="Arial Narrow"/>
          <w:sz w:val="16"/>
          <w:szCs w:val="16"/>
          <w:lang w:val="lv-LV"/>
        </w:rPr>
        <w:t>. decembrī ir 425 000 EUR un sastāv no 425 000 akcijām. Tāpat kā 2020. gadā</w:t>
      </w:r>
      <w:r>
        <w:rPr>
          <w:rFonts w:ascii="Arial Narrow" w:eastAsia="Arial Narrow" w:hAnsi="Arial Narrow" w:cs="Arial Narrow"/>
          <w:sz w:val="16"/>
          <w:szCs w:val="16"/>
          <w:lang w:val="lv-LV"/>
        </w:rPr>
        <w:t xml:space="preserve">, </w:t>
      </w:r>
      <w:r w:rsidRPr="00DA2AF1">
        <w:rPr>
          <w:rFonts w:ascii="Arial Narrow" w:eastAsia="Arial Narrow" w:hAnsi="Arial Narrow" w:cs="Arial Narrow"/>
          <w:sz w:val="16"/>
          <w:szCs w:val="16"/>
          <w:lang w:val="lv-LV"/>
        </w:rPr>
        <w:t xml:space="preserve">arī 2021. gadā netika </w:t>
      </w:r>
      <w:r w:rsidRPr="00DA7ED4">
        <w:rPr>
          <w:rFonts w:ascii="Arial Narrow" w:eastAsia="Arial Narrow" w:hAnsi="Arial Narrow" w:cs="Arial Narrow"/>
          <w:sz w:val="16"/>
          <w:szCs w:val="16"/>
          <w:lang w:val="lv-LV"/>
        </w:rPr>
        <w:t>sadalītas</w:t>
      </w:r>
      <w:r w:rsidRPr="00DA2AF1">
        <w:rPr>
          <w:rFonts w:ascii="Arial Narrow" w:eastAsia="Arial Narrow" w:hAnsi="Arial Narrow" w:cs="Arial Narrow"/>
          <w:sz w:val="16"/>
          <w:szCs w:val="16"/>
          <w:lang w:val="lv-LV"/>
        </w:rPr>
        <w:t xml:space="preserve"> dividendes. Vienas akcijas nominālvērtība ir 1 eiro. Visas akcijas ir pilnībā apmaksātas.</w:t>
      </w:r>
      <w:r>
        <w:rPr>
          <w:rFonts w:ascii="Arial Narrow" w:eastAsia="Arial Narrow" w:hAnsi="Arial Narrow" w:cs="Arial Narrow"/>
          <w:sz w:val="16"/>
          <w:szCs w:val="16"/>
          <w:lang w:val="lv-LV"/>
        </w:rPr>
        <w:t xml:space="preserve"> </w:t>
      </w:r>
      <w:r w:rsidRPr="00DA2AF1">
        <w:rPr>
          <w:rFonts w:ascii="Arial Narrow" w:eastAsia="Arial Narrow" w:hAnsi="Arial Narrow" w:cs="Arial Narrow"/>
          <w:sz w:val="16"/>
          <w:szCs w:val="16"/>
          <w:lang w:val="lv-LV"/>
        </w:rPr>
        <w:t>Veicot pāreju no Latvijas latiem uz EUR, Koncernam ir iz</w:t>
      </w:r>
      <w:r w:rsidRPr="00DA2AF1">
        <w:rPr>
          <w:rFonts w:ascii="Arial Narrow" w:eastAsia="Arial Narrow" w:hAnsi="Arial Narrow" w:cs="Arial Narrow"/>
          <w:sz w:val="16"/>
          <w:szCs w:val="16"/>
          <w:lang w:val="lv-LV"/>
        </w:rPr>
        <w:t>veidojusies valūtas pārvērtēšanas rezerve EUR 1 apmērā.</w:t>
      </w:r>
    </w:p>
    <w:p w:rsidR="00DC25AE" w:rsidRPr="00DA2AF1" w:rsidP="00DC25AE" w14:paraId="3FA37002" w14:textId="77777777">
      <w:pPr>
        <w:spacing w:after="0" w:line="360" w:lineRule="auto"/>
        <w:jc w:val="both"/>
        <w:rPr>
          <w:rFonts w:ascii="Arial Narrow" w:eastAsia="Arial Narrow" w:hAnsi="Arial Narrow" w:cs="Arial Narrow"/>
          <w:sz w:val="16"/>
          <w:szCs w:val="16"/>
          <w:lang w:val="lv-LV"/>
        </w:rPr>
      </w:pPr>
    </w:p>
    <w:p w:rsidR="00CB401E" w:rsidRPr="00DA2AF1" w:rsidP="00DC25AE" w14:textId="0C7E924E">
      <w:pPr>
        <w:spacing w:after="0" w:line="360" w:lineRule="auto"/>
        <w:jc w:val="both"/>
        <w:rPr>
          <w:rFonts w:ascii="Arial Narrow" w:eastAsia="Arial Narrow" w:hAnsi="Arial Narrow" w:cs="Arial Narrow"/>
          <w:sz w:val="16"/>
          <w:szCs w:val="16"/>
          <w:lang w:val="lv-LV"/>
        </w:rPr>
      </w:pPr>
      <w:r w:rsidRPr="00DA2AF1">
        <w:rPr>
          <w:rFonts w:ascii="Arial Narrow" w:eastAsia="Arial Narrow" w:hAnsi="Arial Narrow" w:cs="Arial Narrow"/>
          <w:sz w:val="16"/>
          <w:szCs w:val="16"/>
          <w:lang w:val="lv-LV"/>
        </w:rPr>
        <w:t xml:space="preserve">Patiesās vērtības rezerve ietver kumulatīvās neto izmaiņas FVOCI parāda vērtspapīru patiesajā vērtībā līdz brīdim, kad aktīva atzīšana tiek pārtraukta vai tas tiek pārklasificēts. </w:t>
      </w:r>
    </w:p>
    <w:tbl>
      <w:tblPr>
        <w:tblStyle w:val="CDMRange2"/>
        <w:tblW w:w="9600" w:type="dxa"/>
        <w:tblLayout w:type="fixed"/>
        <w:tblLook w:val="0600"/>
      </w:tblPr>
      <w:tblGrid>
        <w:gridCol w:w="4200"/>
        <w:gridCol w:w="900"/>
        <w:gridCol w:w="900"/>
        <w:gridCol w:w="900"/>
        <w:gridCol w:w="900"/>
        <w:gridCol w:w="900"/>
        <w:gridCol w:w="900"/>
      </w:tblGrid>
      <w:tr>
        <w:tblPrEx>
          <w:tblW w:w="9600" w:type="dxa"/>
          <w:tblLayout w:type="fixed"/>
          <w:tblLook w:val="0600"/>
        </w:tblPrEx>
        <w:trPr>
          <w:trHeight w:val="255"/>
        </w:trPr>
        <w:tc>
          <w:tcPr>
            <w:tcW w:w="42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Akciju kapitāls</w:t>
            </w:r>
          </w:p>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Sākuma atlikums 2019. gada 1. janvārī</w:t>
            </w: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800" w:type="dxa"/>
            <w:gridSpan w:val="2"/>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800" w:type="dxa"/>
            <w:gridSpan w:val="2"/>
            <w:tcBorders>
              <w:top w:val="single" w:sz="4" w:space="0" w:color="000000"/>
              <w:left w:val="nil"/>
              <w:bottom w:val="nil"/>
              <w:right w:val="nil"/>
              <w:tl2br w:val="nil"/>
              <w:tr2bl w:val="nil"/>
            </w:tcBorders>
            <w:shd w:val="clear" w:color="FFFFFF" w:fill="E2F0D9"/>
            <w:noWrap/>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5,000,000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Parakstīts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800" w:type="dxa"/>
            <w:gridSpan w:val="2"/>
            <w:tcBorders>
              <w:top w:val="nil"/>
              <w:left w:val="nil"/>
              <w:bottom w:val="nil"/>
              <w:right w:val="nil"/>
              <w:tl2br w:val="nil"/>
              <w:tr2bl w:val="nil"/>
            </w:tcBorders>
            <w:shd w:val="clear" w:color="FFFFFF" w:fill="E2F0D9"/>
            <w:noWrap/>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Izpirkts</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FFFFFF" w:fill="E2F0D9"/>
            <w:noWrap/>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Beigu atlikums 2019. gada 31. decembrī</w:t>
            </w: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800" w:type="dxa"/>
            <w:gridSpan w:val="2"/>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800" w:type="dxa"/>
            <w:gridSpan w:val="2"/>
            <w:tcBorders>
              <w:top w:val="single" w:sz="4" w:space="0" w:color="000000"/>
              <w:left w:val="nil"/>
              <w:bottom w:val="nil"/>
              <w:right w:val="nil"/>
              <w:tl2br w:val="nil"/>
              <w:tr2bl w:val="nil"/>
            </w:tcBorders>
            <w:shd w:val="clear" w:color="FFFFFF" w:fill="DEEBF7"/>
            <w:noWrap/>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5,000,000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Sākuma atlikums 2020. gada 1. janvārī</w:t>
            </w: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800" w:type="dxa"/>
            <w:gridSpan w:val="2"/>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800" w:type="dxa"/>
            <w:gridSpan w:val="2"/>
            <w:tcBorders>
              <w:top w:val="single" w:sz="4" w:space="0" w:color="000000"/>
              <w:left w:val="nil"/>
              <w:bottom w:val="nil"/>
              <w:right w:val="nil"/>
              <w:tl2br w:val="nil"/>
              <w:tr2bl w:val="nil"/>
            </w:tcBorders>
            <w:shd w:val="clear" w:color="FFFFFF" w:fill="E2F0D9"/>
            <w:noWrap/>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5,000,000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Samazinājums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(4,575,000)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Beigu atlikums 2020. gada 31. decembrī</w:t>
            </w: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1800" w:type="dxa"/>
            <w:gridSpan w:val="2"/>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800" w:type="dxa"/>
            <w:gridSpan w:val="2"/>
            <w:tcBorders>
              <w:top w:val="single" w:sz="4" w:space="0" w:color="000000"/>
              <w:left w:val="nil"/>
              <w:bottom w:val="nil"/>
              <w:right w:val="nil"/>
              <w:tl2br w:val="nil"/>
              <w:tr2bl w:val="nil"/>
            </w:tcBorders>
            <w:shd w:val="clear" w:color="FFFFFF" w:fill="DEEBF7"/>
            <w:noWrap/>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425,000</w:t>
            </w:r>
          </w:p>
        </w:tc>
      </w:tr>
    </w:tbl>
    <w:p w:rsidR="00AC2331" w:rsidRPr="00823F8F" w:rsidP="00823F8F" w14:paraId="5A08D127" w14:textId="406434BD">
      <w:pPr>
        <w:pageBreakBefore/>
        <w:spacing w:line="360" w:lineRule="auto"/>
        <w:jc w:val="both"/>
        <w:rPr>
          <w:rFonts w:ascii="Arial Narrow" w:eastAsia="Arial Narrow" w:hAnsi="Arial Narrow" w:cs="Arial Narrow"/>
          <w:sz w:val="16"/>
          <w:szCs w:val="16"/>
        </w:rPr>
      </w:pPr>
      <w:bookmarkStart w:id="1206" w:name="RG_MARKER_6653"/>
      <w:bookmarkStart w:id="1207" w:name="RG_MARKER_6584"/>
      <w:r w:rsidRPr="004B27F5">
        <w:rPr>
          <w:rFonts w:ascii="Arial Narrow" w:eastAsia="Arial Narrow" w:hAnsi="Arial Narrow" w:cs="Arial Narrow"/>
          <w:b/>
          <w:bCs/>
          <w:sz w:val="16"/>
          <w:szCs w:val="16"/>
        </w:rPr>
        <w:t>30</w:t>
      </w:r>
      <w:bookmarkEnd w:id="1207"/>
      <w:bookmarkEnd w:id="1206"/>
      <w:r w:rsidRPr="00823F8F">
        <w:rPr>
          <w:rFonts w:ascii="Arial Narrow" w:eastAsia="Arial Narrow" w:hAnsi="Arial Narrow" w:cs="Arial Narrow"/>
          <w:b/>
          <w:bCs/>
          <w:sz w:val="16"/>
          <w:szCs w:val="16"/>
        </w:rPr>
        <w:t>. Citi uzkrājumi</w:t>
      </w:r>
    </w:p>
    <w:p w:rsidR="00CB401E" w:rsidRPr="00122276" w:rsidP="00823F8F" w14:textId="6F624E60">
      <w:pPr>
        <w:spacing w:line="360" w:lineRule="auto"/>
        <w:jc w:val="both"/>
        <w:rPr>
          <w:rFonts w:ascii="Arial Narrow" w:eastAsia="Arial Narrow" w:hAnsi="Arial Narrow" w:cs="Arial Narrow"/>
          <w:sz w:val="16"/>
          <w:szCs w:val="16"/>
        </w:rPr>
      </w:pPr>
      <w:r w:rsidRPr="00122276">
        <w:rPr>
          <w:rFonts w:ascii="Arial Narrow" w:eastAsia="Arial Narrow" w:hAnsi="Arial Narrow" w:cs="Arial Narrow"/>
          <w:sz w:val="16"/>
          <w:szCs w:val="16"/>
        </w:rPr>
        <w:t>2016. finanšu gada laikā Mātes sabiedrība veica korekcijas PVN deklarācijās par periodu no 2014. līdz 2016. gadam un atzina papildu priekšnodokli. Tāda pati pieeja tika izmantota attiecībā uz visiem periodiem līdz</w:t>
      </w:r>
      <w:r w:rsidRPr="00122276">
        <w:rPr>
          <w:rFonts w:ascii="Arial Narrow" w:eastAsia="Arial Narrow" w:hAnsi="Arial Narrow" w:cs="Arial Narrow"/>
          <w:sz w:val="16"/>
          <w:szCs w:val="16"/>
        </w:rPr>
        <w:t xml:space="preserve"> 31.12.202</w:t>
      </w:r>
      <w:r>
        <w:rPr>
          <w:rFonts w:ascii="Arial Narrow" w:eastAsia="Arial Narrow" w:hAnsi="Arial Narrow" w:cs="Arial Narrow"/>
          <w:sz w:val="16"/>
          <w:szCs w:val="16"/>
        </w:rPr>
        <w:t>1</w:t>
      </w:r>
      <w:r w:rsidRPr="00122276">
        <w:rPr>
          <w:rFonts w:ascii="Arial Narrow" w:eastAsia="Arial Narrow" w:hAnsi="Arial Narrow" w:cs="Arial Narrow"/>
          <w:sz w:val="16"/>
          <w:szCs w:val="16"/>
        </w:rPr>
        <w:t>. Tomēr pastāv nenoteiktība attiecībā uz šī priekšnodokļa atgūšanu un tā ietekmē PVN saistības var pieaugt. Šī iemesla dēļ 31.12.2021. Mātes sabiedrība ir izveidojusi uzkrājumus deklarētā priekšnodokļa apjomā EUR 108 421 (31.12.2020.: EUR 333 60</w:t>
      </w:r>
      <w:r w:rsidRPr="00122276">
        <w:rPr>
          <w:rFonts w:ascii="Arial Narrow" w:eastAsia="Arial Narrow" w:hAnsi="Arial Narrow" w:cs="Arial Narrow"/>
          <w:sz w:val="16"/>
          <w:szCs w:val="16"/>
        </w:rPr>
        <w:t>8 apmērā).</w:t>
      </w:r>
    </w:p>
    <w:tbl>
      <w:tblPr>
        <w:tblStyle w:val="CDMRange1"/>
        <w:tblW w:w="9600" w:type="dxa"/>
        <w:tblLayout w:type="fixed"/>
        <w:tblLook w:val="0600"/>
      </w:tblPr>
      <w:tblGrid>
        <w:gridCol w:w="6000"/>
        <w:gridCol w:w="1800"/>
        <w:gridCol w:w="18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8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18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iespējamām PVN saistībām*</w:t>
            </w:r>
          </w:p>
        </w:tc>
        <w:tc>
          <w:tcPr>
            <w:tcW w:w="18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108,421</w:t>
            </w:r>
          </w:p>
        </w:tc>
        <w:tc>
          <w:tcPr>
            <w:tcW w:w="18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333,608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iespējamām soda naudām</w:t>
            </w:r>
          </w:p>
        </w:tc>
        <w:tc>
          <w:tcPr>
            <w:tcW w:w="18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31,632</w:t>
            </w:r>
          </w:p>
        </w:tc>
        <w:tc>
          <w:tcPr>
            <w:tcW w:w="18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99,314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140,053</w:t>
            </w:r>
          </w:p>
        </w:tc>
        <w:tc>
          <w:tcPr>
            <w:tcW w:w="180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432,922</w:t>
            </w:r>
          </w:p>
        </w:tc>
      </w:tr>
    </w:tbl>
    <w:p/>
    <w:p w:rsidR="00486295" w:rsidRPr="00BB7BEB" w:rsidP="00CA4950" w14:paraId="391B2E95" w14:textId="4BE9A7F3">
      <w:pPr>
        <w:spacing w:line="360" w:lineRule="auto"/>
        <w:jc w:val="both"/>
        <w:rPr>
          <w:rFonts w:ascii="Arial Narrow" w:eastAsia="Arial Narrow" w:hAnsi="Arial Narrow" w:cs="Arial Narrow"/>
          <w:sz w:val="16"/>
          <w:szCs w:val="16"/>
        </w:rPr>
      </w:pPr>
      <w:bookmarkStart w:id="1208" w:name="RG_MARKER_6654"/>
      <w:r w:rsidRPr="00BB7BEB">
        <w:rPr>
          <w:rFonts w:ascii="Arial Narrow" w:eastAsia="Arial Narrow" w:hAnsi="Arial Narrow" w:cs="Arial Narrow"/>
          <w:sz w:val="16"/>
          <w:szCs w:val="16"/>
        </w:rPr>
        <w:t xml:space="preserve">* Uzkrājumi iespējamiem nodokļiem un nodevām ir aprēķināti, balstoties uz Latvijas Republikas nodokļu iestādes piemērotajām likmēm, un diskontēti ar </w:t>
      </w:r>
      <w:bookmarkEnd w:id="1208"/>
      <w:r w:rsidRPr="00BB7BEB">
        <w:rPr>
          <w:rFonts w:ascii="Arial Narrow" w:eastAsia="Arial Narrow" w:hAnsi="Arial Narrow" w:cs="Arial Narrow"/>
          <w:sz w:val="16"/>
          <w:szCs w:val="16"/>
        </w:rPr>
        <w:t>likmi</w:t>
      </w:r>
      <w:r w:rsidRPr="00BB7BEB">
        <w:rPr>
          <w:rFonts w:ascii="Arial Narrow" w:eastAsia="Arial Narrow" w:hAnsi="Arial Narrow" w:cs="Arial Narrow"/>
          <w:sz w:val="16"/>
          <w:szCs w:val="16"/>
        </w:rPr>
        <w:t xml:space="preserve"> 0,42</w:t>
      </w:r>
      <w:r w:rsidRPr="00BB7BEB">
        <w:rPr>
          <w:rFonts w:ascii="Arial Narrow" w:eastAsia="Arial Narrow" w:hAnsi="Arial Narrow" w:cs="Arial Narrow"/>
          <w:sz w:val="16"/>
          <w:szCs w:val="16"/>
        </w:rPr>
        <w:t>% (2020</w:t>
      </w:r>
      <w:r w:rsidRPr="00BB7BEB">
        <w:rPr>
          <w:rFonts w:ascii="Arial Narrow" w:eastAsia="Arial Narrow" w:hAnsi="Arial Narrow" w:cs="Arial Narrow"/>
          <w:sz w:val="16"/>
          <w:szCs w:val="16"/>
        </w:rPr>
        <w:t>: 0,51</w:t>
      </w:r>
      <w:r w:rsidRPr="00BB7BEB">
        <w:rPr>
          <w:rFonts w:ascii="Arial Narrow" w:eastAsia="Arial Narrow" w:hAnsi="Arial Narrow" w:cs="Arial Narrow"/>
          <w:sz w:val="16"/>
          <w:szCs w:val="16"/>
        </w:rPr>
        <w:t xml:space="preserve">%) par </w:t>
      </w:r>
      <w:r w:rsidRPr="00BB7BEB">
        <w:rPr>
          <w:rFonts w:ascii="Arial Narrow" w:eastAsia="Arial Narrow" w:hAnsi="Arial Narrow" w:cs="Arial Narrow"/>
          <w:sz w:val="16"/>
          <w:szCs w:val="16"/>
        </w:rPr>
        <w:t>aplēsto</w:t>
      </w:r>
      <w:r w:rsidRPr="00BB7BEB">
        <w:rPr>
          <w:rFonts w:ascii="Arial Narrow" w:eastAsia="Arial Narrow" w:hAnsi="Arial Narrow" w:cs="Arial Narrow"/>
          <w:sz w:val="16"/>
          <w:szCs w:val="16"/>
        </w:rPr>
        <w:t xml:space="preserve"> </w:t>
      </w:r>
      <w:r w:rsidRPr="00BB7BEB">
        <w:rPr>
          <w:rFonts w:ascii="Arial Narrow" w:eastAsia="Arial Narrow" w:hAnsi="Arial Narrow" w:cs="Arial Narrow"/>
          <w:sz w:val="16"/>
          <w:szCs w:val="16"/>
        </w:rPr>
        <w:t>atlikušo</w:t>
      </w:r>
      <w:r w:rsidRPr="00BB7BEB">
        <w:rPr>
          <w:rFonts w:ascii="Arial Narrow" w:eastAsia="Arial Narrow" w:hAnsi="Arial Narrow" w:cs="Arial Narrow"/>
          <w:sz w:val="16"/>
          <w:szCs w:val="16"/>
        </w:rPr>
        <w:t xml:space="preserve"> tiesvedības procesa ilgumu 3 gadi. Uzkrājumi ir izveidoti ie</w:t>
      </w:r>
      <w:r w:rsidRPr="00BB7BEB">
        <w:rPr>
          <w:rFonts w:ascii="Arial Narrow" w:eastAsia="Arial Narrow" w:hAnsi="Arial Narrow" w:cs="Arial Narrow"/>
          <w:sz w:val="16"/>
          <w:szCs w:val="16"/>
        </w:rPr>
        <w:t>spējamām PVN saistībām.</w:t>
      </w:r>
    </w:p>
    <w:p w:rsidR="00CB401E" w:rsidRPr="00BB7BEB" w:rsidP="00CA4950" w14:textId="20389FB0">
      <w:pPr>
        <w:spacing w:line="360" w:lineRule="auto"/>
        <w:jc w:val="both"/>
        <w:rPr>
          <w:rFonts w:ascii="Arial Narrow" w:eastAsia="Arial Narrow" w:hAnsi="Arial Narrow" w:cs="Arial Narrow"/>
          <w:sz w:val="16"/>
          <w:szCs w:val="16"/>
        </w:rPr>
      </w:pPr>
      <w:r w:rsidRPr="00BB7BEB">
        <w:rPr>
          <w:rFonts w:ascii="Arial Narrow" w:eastAsia="Arial Narrow" w:hAnsi="Arial Narrow" w:cs="Arial Narrow"/>
          <w:sz w:val="16"/>
          <w:szCs w:val="16"/>
        </w:rPr>
        <w:t>Izmaiņas uzkrājumos iespējamām PVN saistībām atzīst proporcionāli tajos izdevumu kontos, kuri tiek izmantoti attiecīgā PVN uzskaitei.</w:t>
      </w:r>
    </w:p>
    <w:p/>
    <w:tbl>
      <w:tblPr>
        <w:tblStyle w:val="CDMRange2"/>
        <w:tblW w:w="9600" w:type="dxa"/>
        <w:tblLayout w:type="fixed"/>
        <w:tblLook w:val="0600"/>
      </w:tblPr>
      <w:tblGrid>
        <w:gridCol w:w="3300"/>
        <w:gridCol w:w="900"/>
        <w:gridCol w:w="900"/>
        <w:gridCol w:w="900"/>
        <w:gridCol w:w="900"/>
        <w:gridCol w:w="900"/>
        <w:gridCol w:w="900"/>
        <w:gridCol w:w="900"/>
      </w:tblGrid>
      <w:tr>
        <w:tblPrEx>
          <w:tblW w:w="9600" w:type="dxa"/>
          <w:tblLayout w:type="fixed"/>
          <w:tblLook w:val="0600"/>
        </w:tblPrEx>
        <w:trPr>
          <w:cantSplit/>
          <w:trHeight w:val="255"/>
        </w:trPr>
        <w:tc>
          <w:tcPr>
            <w:tcW w:w="33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pārskata gadam</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Atcelti uzkrājumi*</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Diskonta atcelšana</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 xml:space="preserve">Uzkrājumu palielinājums/ (samazinājums) kopā </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PVN saistību pieaugums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33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33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33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Izmaiņas pārējos uzkrājumos</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33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iespējamām PVN saistībām Latvijā</w:t>
            </w:r>
          </w:p>
        </w:tc>
        <w:tc>
          <w:tcPr>
            <w:tcW w:w="900" w:type="dxa"/>
            <w:tcBorders>
              <w:top w:val="single" w:sz="4" w:space="0" w:color="000000"/>
              <w:left w:val="nil"/>
              <w:bottom w:val="nil"/>
              <w:right w:val="single" w:sz="4" w:space="0" w:color="000000"/>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333,608</w:t>
            </w:r>
          </w:p>
        </w:tc>
        <w:tc>
          <w:tcPr>
            <w:tcW w:w="900" w:type="dxa"/>
            <w:tcBorders>
              <w:top w:val="single" w:sz="4" w:space="0" w:color="000000"/>
              <w:left w:val="single" w:sz="4" w:space="0" w:color="000000"/>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40,489</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(179,640)</w:t>
            </w:r>
          </w:p>
        </w:tc>
        <w:tc>
          <w:tcPr>
            <w:tcW w:w="900" w:type="dxa"/>
            <w:tcBorders>
              <w:top w:val="single" w:sz="4" w:space="0" w:color="000000"/>
              <w:left w:val="nil"/>
              <w:bottom w:val="nil"/>
              <w:right w:val="single" w:sz="4" w:space="0" w:color="000000"/>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(4,447)</w:t>
            </w:r>
          </w:p>
        </w:tc>
        <w:tc>
          <w:tcPr>
            <w:tcW w:w="900" w:type="dxa"/>
            <w:tcBorders>
              <w:top w:val="single" w:sz="4" w:space="0" w:color="000000"/>
              <w:left w:val="single" w:sz="4" w:space="0" w:color="000000"/>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(143,598)</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(81,589)</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108,421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33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iespējamām soda naudām Latvijā</w:t>
            </w:r>
          </w:p>
        </w:tc>
        <w:tc>
          <w:tcPr>
            <w:tcW w:w="900" w:type="dxa"/>
            <w:tcBorders>
              <w:top w:val="nil"/>
              <w:left w:val="nil"/>
              <w:bottom w:val="single" w:sz="4" w:space="0" w:color="000000"/>
              <w:right w:val="single" w:sz="4" w:space="0" w:color="000000"/>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99,314</w:t>
            </w:r>
          </w:p>
        </w:tc>
        <w:tc>
          <w:tcPr>
            <w:tcW w:w="900" w:type="dxa"/>
            <w:tcBorders>
              <w:top w:val="nil"/>
              <w:left w:val="single" w:sz="4" w:space="0" w:color="000000"/>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11,561</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(79,713)</w:t>
            </w:r>
          </w:p>
        </w:tc>
        <w:tc>
          <w:tcPr>
            <w:tcW w:w="900" w:type="dxa"/>
            <w:tcBorders>
              <w:top w:val="nil"/>
              <w:left w:val="nil"/>
              <w:bottom w:val="single" w:sz="4" w:space="0" w:color="000000"/>
              <w:right w:val="single" w:sz="4" w:space="0" w:color="000000"/>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470</w:t>
            </w:r>
          </w:p>
        </w:tc>
        <w:tc>
          <w:tcPr>
            <w:tcW w:w="900" w:type="dxa"/>
            <w:tcBorders>
              <w:top w:val="nil"/>
              <w:left w:val="single" w:sz="4" w:space="0" w:color="000000"/>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(67,682)</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31,632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33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900" w:type="dxa"/>
            <w:tcBorders>
              <w:top w:val="single" w:sz="4" w:space="0" w:color="000000"/>
              <w:left w:val="nil"/>
              <w:bottom w:val="double" w:sz="6" w:space="0" w:color="000000"/>
              <w:right w:val="single" w:sz="4" w:space="0" w:color="000000"/>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432,922</w:t>
            </w:r>
          </w:p>
        </w:tc>
        <w:tc>
          <w:tcPr>
            <w:tcW w:w="900" w:type="dxa"/>
            <w:tcBorders>
              <w:top w:val="single" w:sz="4" w:space="0" w:color="000000"/>
              <w:left w:val="single" w:sz="4" w:space="0" w:color="000000"/>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52,051</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(259,353)</w:t>
            </w:r>
          </w:p>
        </w:tc>
        <w:tc>
          <w:tcPr>
            <w:tcW w:w="900" w:type="dxa"/>
            <w:tcBorders>
              <w:top w:val="single" w:sz="4" w:space="0" w:color="000000"/>
              <w:left w:val="nil"/>
              <w:bottom w:val="double" w:sz="6" w:space="0" w:color="000000"/>
              <w:right w:val="single" w:sz="4" w:space="0" w:color="000000"/>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(3,977)</w:t>
            </w:r>
          </w:p>
        </w:tc>
        <w:tc>
          <w:tcPr>
            <w:tcW w:w="900" w:type="dxa"/>
            <w:tcBorders>
              <w:top w:val="single" w:sz="4" w:space="0" w:color="000000"/>
              <w:left w:val="single" w:sz="4" w:space="0" w:color="000000"/>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(211,280)</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(81,589)</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140,053</w:t>
            </w:r>
          </w:p>
        </w:tc>
      </w:tr>
    </w:tbl>
    <w:p/>
    <w:p w:rsidR="00CB401E" w:rsidRPr="00185E68" w:rsidP="00333123" w14:textId="35F70FE7">
      <w:pPr>
        <w:spacing w:line="360" w:lineRule="auto"/>
        <w:jc w:val="both"/>
        <w:rPr>
          <w:rFonts w:ascii="Arial Narrow" w:eastAsia="Arial Narrow" w:hAnsi="Arial Narrow" w:cs="Arial Narrow"/>
          <w:sz w:val="16"/>
          <w:szCs w:val="16"/>
        </w:rPr>
      </w:pPr>
      <w:bookmarkStart w:id="1209" w:name="RG_MARKER_6655"/>
      <w:r w:rsidRPr="00185E68">
        <w:rPr>
          <w:rFonts w:ascii="Arial Narrow" w:eastAsia="Arial Narrow" w:hAnsi="Arial Narrow" w:cs="Arial Narrow"/>
          <w:sz w:val="16"/>
          <w:szCs w:val="16"/>
        </w:rPr>
        <w:t>*2021. finanšu gada laikā Sabiedrība atcēla uzkrājumus iespējamām PVN saistībām un soda naudām Latvijā par periodu no 201</w:t>
      </w:r>
      <w:bookmarkEnd w:id="1209"/>
      <w:r>
        <w:rPr>
          <w:rFonts w:ascii="Arial Narrow" w:eastAsia="Arial Narrow" w:hAnsi="Arial Narrow" w:cs="Arial Narrow"/>
          <w:sz w:val="16"/>
          <w:szCs w:val="16"/>
        </w:rPr>
        <w:t>7</w:t>
      </w:r>
      <w:r w:rsidRPr="00185E68">
        <w:rPr>
          <w:rFonts w:ascii="Arial Narrow" w:eastAsia="Arial Narrow" w:hAnsi="Arial Narrow" w:cs="Arial Narrow"/>
          <w:sz w:val="16"/>
          <w:szCs w:val="16"/>
        </w:rPr>
        <w:t xml:space="preserve">. gada </w:t>
      </w:r>
      <w:r>
        <w:rPr>
          <w:rFonts w:ascii="Arial Narrow" w:eastAsia="Arial Narrow" w:hAnsi="Arial Narrow" w:cs="Arial Narrow"/>
          <w:sz w:val="16"/>
          <w:szCs w:val="16"/>
        </w:rPr>
        <w:t>decembra</w:t>
      </w:r>
      <w:r w:rsidRPr="00185E68">
        <w:rPr>
          <w:rFonts w:ascii="Arial Narrow" w:eastAsia="Arial Narrow" w:hAnsi="Arial Narrow" w:cs="Arial Narrow"/>
          <w:sz w:val="16"/>
          <w:szCs w:val="16"/>
        </w:rPr>
        <w:t xml:space="preserve"> līdz</w:t>
      </w:r>
      <w:r>
        <w:rPr>
          <w:rFonts w:ascii="Arial Narrow" w:eastAsia="Arial Narrow" w:hAnsi="Arial Narrow" w:cs="Arial Narrow"/>
          <w:sz w:val="16"/>
          <w:szCs w:val="16"/>
        </w:rPr>
        <w:t xml:space="preserve"> 2018. gada</w:t>
      </w:r>
      <w:r w:rsidRPr="00185E68">
        <w:rPr>
          <w:rFonts w:ascii="Arial Narrow" w:eastAsia="Arial Narrow" w:hAnsi="Arial Narrow" w:cs="Arial Narrow"/>
          <w:sz w:val="16"/>
          <w:szCs w:val="16"/>
        </w:rPr>
        <w:t xml:space="preserve"> novembrim, jo saskaņā ar tiesību aktu prasībām tām bija iestājies noilgums.</w:t>
      </w:r>
    </w:p>
    <w:p/>
    <w:tbl>
      <w:tblPr>
        <w:tblStyle w:val="CDMRange1"/>
        <w:tblW w:w="9600" w:type="dxa"/>
        <w:tblLayout w:type="fixed"/>
        <w:tblLook w:val="0600"/>
      </w:tblPr>
      <w:tblGrid>
        <w:gridCol w:w="3300"/>
        <w:gridCol w:w="900"/>
        <w:gridCol w:w="900"/>
        <w:gridCol w:w="900"/>
        <w:gridCol w:w="900"/>
        <w:gridCol w:w="900"/>
        <w:gridCol w:w="900"/>
        <w:gridCol w:w="900"/>
      </w:tblGrid>
      <w:tr>
        <w:tblPrEx>
          <w:tblW w:w="9600" w:type="dxa"/>
          <w:tblLayout w:type="fixed"/>
          <w:tblLook w:val="0600"/>
        </w:tblPrEx>
        <w:trPr>
          <w:cantSplit/>
          <w:trHeight w:val="255"/>
        </w:trPr>
        <w:tc>
          <w:tcPr>
            <w:tcW w:w="33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pārskata gadam</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Atcelti uzkrājumi*</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Diskonta atcelšana</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 xml:space="preserve">Uzkrājumu palielinājums/ (samazinājums) kopā </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PVN saistību pieaugums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33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33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33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Izmaiņas pārējos uzkrājumos</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31.12.2019.</w:t>
            </w: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bottom"/>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33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iespējamām PVN saistībām Latvijā</w:t>
            </w:r>
          </w:p>
        </w:tc>
        <w:tc>
          <w:tcPr>
            <w:tcW w:w="900" w:type="dxa"/>
            <w:tcBorders>
              <w:top w:val="single" w:sz="4" w:space="0" w:color="000000"/>
              <w:left w:val="nil"/>
              <w:bottom w:val="nil"/>
              <w:right w:val="single" w:sz="4" w:space="0" w:color="000000"/>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365,495</w:t>
            </w:r>
          </w:p>
        </w:tc>
        <w:tc>
          <w:tcPr>
            <w:tcW w:w="900" w:type="dxa"/>
            <w:tcBorders>
              <w:top w:val="single" w:sz="4" w:space="0" w:color="000000"/>
              <w:left w:val="single" w:sz="4" w:space="0" w:color="000000"/>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17,991</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(124,486)</w:t>
            </w:r>
          </w:p>
        </w:tc>
        <w:tc>
          <w:tcPr>
            <w:tcW w:w="900" w:type="dxa"/>
            <w:tcBorders>
              <w:top w:val="single" w:sz="4" w:space="0" w:color="000000"/>
              <w:left w:val="nil"/>
              <w:bottom w:val="nil"/>
              <w:right w:val="single" w:sz="4" w:space="0" w:color="000000"/>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4,344</w:t>
            </w:r>
          </w:p>
        </w:tc>
        <w:tc>
          <w:tcPr>
            <w:tcW w:w="900" w:type="dxa"/>
            <w:tcBorders>
              <w:top w:val="single" w:sz="4" w:space="0" w:color="000000"/>
              <w:left w:val="single" w:sz="4" w:space="0" w:color="000000"/>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(102,151)</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70,264</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333,608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33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iespējamām soda naudām Latvijā</w:t>
            </w:r>
          </w:p>
        </w:tc>
        <w:tc>
          <w:tcPr>
            <w:tcW w:w="900" w:type="dxa"/>
            <w:tcBorders>
              <w:top w:val="nil"/>
              <w:left w:val="nil"/>
              <w:bottom w:val="single" w:sz="4" w:space="0" w:color="000000"/>
              <w:right w:val="single" w:sz="4" w:space="0" w:color="000000"/>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127,176</w:t>
            </w:r>
          </w:p>
        </w:tc>
        <w:tc>
          <w:tcPr>
            <w:tcW w:w="900" w:type="dxa"/>
            <w:tcBorders>
              <w:top w:val="nil"/>
              <w:left w:val="single" w:sz="4" w:space="0" w:color="000000"/>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26,003</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(55,376)</w:t>
            </w:r>
          </w:p>
        </w:tc>
        <w:tc>
          <w:tcPr>
            <w:tcW w:w="900" w:type="dxa"/>
            <w:tcBorders>
              <w:top w:val="nil"/>
              <w:left w:val="nil"/>
              <w:bottom w:val="single" w:sz="4" w:space="0" w:color="000000"/>
              <w:right w:val="single" w:sz="4" w:space="0" w:color="000000"/>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1,511</w:t>
            </w:r>
          </w:p>
        </w:tc>
        <w:tc>
          <w:tcPr>
            <w:tcW w:w="900" w:type="dxa"/>
            <w:tcBorders>
              <w:top w:val="nil"/>
              <w:left w:val="single" w:sz="4" w:space="0" w:color="000000"/>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(27,862)</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99,314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33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900" w:type="dxa"/>
            <w:tcBorders>
              <w:top w:val="single" w:sz="4" w:space="0" w:color="000000"/>
              <w:left w:val="nil"/>
              <w:bottom w:val="double" w:sz="6" w:space="0" w:color="000000"/>
              <w:right w:val="single" w:sz="4" w:space="0" w:color="000000"/>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492,671</w:t>
            </w:r>
          </w:p>
        </w:tc>
        <w:tc>
          <w:tcPr>
            <w:tcW w:w="900" w:type="dxa"/>
            <w:tcBorders>
              <w:top w:val="single" w:sz="4" w:space="0" w:color="000000"/>
              <w:left w:val="single" w:sz="4" w:space="0" w:color="000000"/>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43,994</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(179,862)</w:t>
            </w:r>
          </w:p>
        </w:tc>
        <w:tc>
          <w:tcPr>
            <w:tcW w:w="900" w:type="dxa"/>
            <w:tcBorders>
              <w:top w:val="single" w:sz="4" w:space="0" w:color="000000"/>
              <w:left w:val="nil"/>
              <w:bottom w:val="double" w:sz="6" w:space="0" w:color="000000"/>
              <w:right w:val="single" w:sz="4" w:space="0" w:color="000000"/>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5,855</w:t>
            </w:r>
          </w:p>
        </w:tc>
        <w:tc>
          <w:tcPr>
            <w:tcW w:w="900" w:type="dxa"/>
            <w:tcBorders>
              <w:top w:val="single" w:sz="4" w:space="0" w:color="000000"/>
              <w:left w:val="single" w:sz="4" w:space="0" w:color="000000"/>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(130,013)</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70,264</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432,922</w:t>
            </w:r>
          </w:p>
        </w:tc>
      </w:tr>
    </w:tbl>
    <w:p/>
    <w:p w:rsidR="00CB401E" w:rsidRPr="007D724F" w:rsidP="007D724F" w14:textId="1B260C71">
      <w:pPr>
        <w:spacing w:line="360" w:lineRule="auto"/>
        <w:jc w:val="both"/>
        <w:rPr>
          <w:rFonts w:ascii="Arial Narrow" w:eastAsia="Arial Narrow" w:hAnsi="Arial Narrow" w:cs="Arial Narrow"/>
          <w:sz w:val="16"/>
          <w:szCs w:val="16"/>
        </w:rPr>
      </w:pPr>
      <w:bookmarkStart w:id="1210" w:name="RG_MARKER_6656"/>
      <w:r w:rsidRPr="007D724F">
        <w:rPr>
          <w:rFonts w:ascii="Arial Narrow" w:eastAsia="Arial Narrow" w:hAnsi="Arial Narrow" w:cs="Arial Narrow"/>
          <w:sz w:val="16"/>
          <w:szCs w:val="16"/>
        </w:rPr>
        <w:t>*20</w:t>
      </w:r>
      <w:bookmarkEnd w:id="1210"/>
      <w:r>
        <w:rPr>
          <w:rFonts w:ascii="Arial Narrow" w:eastAsia="Arial Narrow" w:hAnsi="Arial Narrow" w:cs="Arial Narrow"/>
          <w:sz w:val="16"/>
          <w:szCs w:val="16"/>
        </w:rPr>
        <w:t>20</w:t>
      </w:r>
      <w:r w:rsidRPr="007D724F">
        <w:rPr>
          <w:rFonts w:ascii="Arial Narrow" w:eastAsia="Arial Narrow" w:hAnsi="Arial Narrow" w:cs="Arial Narrow"/>
          <w:sz w:val="16"/>
          <w:szCs w:val="16"/>
        </w:rPr>
        <w:t>. finanšu gada laikā Sabiedrība atcēla uzkrājumus iespējamām soda naudām par PVN saistībām Latvijā par iepriekšējo uzkrājumu periodos, mainot aprēķinātās soda naudas aplēses.</w:t>
      </w:r>
    </w:p>
    <w:tbl>
      <w:tblPr>
        <w:tblStyle w:val="CDMRange2"/>
        <w:tblW w:w="10290" w:type="dxa"/>
        <w:tblLayout w:type="fixed"/>
        <w:tblLook w:val="0600"/>
      </w:tblPr>
      <w:tblGrid>
        <w:gridCol w:w="4200"/>
        <w:gridCol w:w="1590"/>
        <w:gridCol w:w="900"/>
        <w:gridCol w:w="900"/>
        <w:gridCol w:w="900"/>
        <w:gridCol w:w="900"/>
        <w:gridCol w:w="900"/>
      </w:tblGrid>
      <w:tr>
        <w:tblPrEx>
          <w:tblW w:w="10290" w:type="dxa"/>
          <w:tblLayout w:type="fixed"/>
          <w:tblLook w:val="0600"/>
        </w:tblPrEx>
        <w:trPr>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pageBreakBefore/>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 Aizņēmumi</w:t>
            </w:r>
          </w:p>
        </w:tc>
        <w:tc>
          <w:tcPr>
            <w:tcW w:w="159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9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Ilgtermiņa</w:t>
            </w:r>
          </w:p>
        </w:tc>
        <w:tc>
          <w:tcPr>
            <w:tcW w:w="159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Gada procentu likme (%)</w:t>
            </w:r>
          </w:p>
        </w:tc>
        <w:tc>
          <w:tcPr>
            <w:tcW w:w="900" w:type="dxa"/>
            <w:vMerge w:val="restart"/>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Dzēšanas termiņš</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59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Aizņēmumi pret obligācijām</w:t>
            </w:r>
          </w:p>
        </w:tc>
        <w:tc>
          <w:tcPr>
            <w:tcW w:w="159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Obligāciju emisija 30 miljonu EUR vērtībā 3)</w:t>
            </w:r>
          </w:p>
        </w:tc>
        <w:tc>
          <w:tcPr>
            <w:tcW w:w="159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31.03.2024.</w:t>
            </w:r>
          </w:p>
        </w:tc>
        <w:tc>
          <w:tcPr>
            <w:tcW w:w="900" w:type="dxa"/>
            <w:tcBorders>
              <w:top w:val="single" w:sz="4" w:space="0" w:color="000000"/>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29,859,000</w:t>
            </w:r>
          </w:p>
        </w:tc>
        <w:tc>
          <w:tcPr>
            <w:tcW w:w="900" w:type="dxa"/>
            <w:tcBorders>
              <w:top w:val="single" w:sz="4" w:space="0" w:color="000000"/>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Papildu uzkrātie procenti par obligācijām 6)</w:t>
            </w:r>
          </w:p>
        </w:tc>
        <w:tc>
          <w:tcPr>
            <w:tcW w:w="1590"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29,753</w:t>
            </w:r>
          </w:p>
        </w:tc>
        <w:tc>
          <w:tcPr>
            <w:tcW w:w="900"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Obligāciju iegādes izmaksas</w:t>
            </w:r>
          </w:p>
        </w:tc>
        <w:tc>
          <w:tcPr>
            <w:tcW w:w="159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(683,744)</w:t>
            </w:r>
          </w:p>
        </w:tc>
        <w:tc>
          <w:tcPr>
            <w:tcW w:w="900"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9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29,205,009</w:t>
            </w:r>
          </w:p>
        </w:tc>
        <w:tc>
          <w:tcPr>
            <w:tcW w:w="1800" w:type="dxa"/>
            <w:gridSpan w:val="2"/>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Savstarpējās kreditēšanas platformās piesaistīts finansējums</w:t>
            </w:r>
          </w:p>
        </w:tc>
        <w:tc>
          <w:tcPr>
            <w:tcW w:w="159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Savstarpējās kreditēšanas platformās piesaistīts finansējums 4)</w:t>
            </w:r>
          </w:p>
        </w:tc>
        <w:tc>
          <w:tcPr>
            <w:tcW w:w="159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 - 10.5%</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31.12.2028.</w:t>
            </w: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4,797,494</w:t>
            </w: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10,662,288</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390"/>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Saistību iegādes izmaksas savstarpējās kreditēšanas platformās piesaistītajam finansējumam</w:t>
            </w:r>
          </w:p>
        </w:tc>
        <w:tc>
          <w:tcPr>
            <w:tcW w:w="159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(26,541)</w:t>
            </w: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(33,116)</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9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900" w:type="dxa"/>
            <w:tcBorders>
              <w:top w:val="single" w:sz="4" w:space="0" w:color="000000"/>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4,770,953</w:t>
            </w:r>
          </w:p>
        </w:tc>
        <w:tc>
          <w:tcPr>
            <w:tcW w:w="900" w:type="dxa"/>
            <w:tcBorders>
              <w:top w:val="single" w:sz="4" w:space="0" w:color="000000"/>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10,629,172</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Pārējie aizņēmumi</w:t>
            </w:r>
          </w:p>
        </w:tc>
        <w:tc>
          <w:tcPr>
            <w:tcW w:w="159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Aizņēmumi no saistītām sabiedrībām</w:t>
            </w:r>
          </w:p>
        </w:tc>
        <w:tc>
          <w:tcPr>
            <w:tcW w:w="159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10/18/2026</w:t>
            </w: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1,705,000</w:t>
            </w: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9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900" w:type="dxa"/>
            <w:tcBorders>
              <w:top w:val="single" w:sz="4" w:space="0" w:color="000000"/>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1,705,000</w:t>
            </w:r>
          </w:p>
        </w:tc>
        <w:tc>
          <w:tcPr>
            <w:tcW w:w="900" w:type="dxa"/>
            <w:tcBorders>
              <w:top w:val="single" w:sz="4" w:space="0" w:color="000000"/>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Nomas saistības par lietošanas tiesību aktīviem</w:t>
            </w:r>
          </w:p>
        </w:tc>
        <w:tc>
          <w:tcPr>
            <w:tcW w:w="159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Nomas saistības par lietošanas tiesību aktīviem – telpas5)</w:t>
            </w:r>
          </w:p>
        </w:tc>
        <w:tc>
          <w:tcPr>
            <w:tcW w:w="159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2.14-2.96%</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līdz 5 gadam</w:t>
            </w: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153,365</w:t>
            </w: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549,750</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Nomas saistības par lietošanas tiesību aktīviem – automašīnas5)</w:t>
            </w:r>
          </w:p>
        </w:tc>
        <w:tc>
          <w:tcPr>
            <w:tcW w:w="159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2.14-2.96%</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&gt; No 1 gada –                                          &lt; 5 gadu laikā</w:t>
            </w: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437,110</w:t>
            </w: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437,110</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9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900" w:type="dxa"/>
            <w:tcBorders>
              <w:top w:val="single" w:sz="4" w:space="0" w:color="000000"/>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590,475</w:t>
            </w:r>
          </w:p>
        </w:tc>
        <w:tc>
          <w:tcPr>
            <w:tcW w:w="900" w:type="dxa"/>
            <w:tcBorders>
              <w:top w:val="single" w:sz="4" w:space="0" w:color="000000"/>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986,860</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9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690" w:type="dxa"/>
            <w:gridSpan w:val="3"/>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ILGTERMIŅA AIZŅĒMUMI KOPĀ:</w:t>
            </w:r>
          </w:p>
        </w:tc>
        <w:tc>
          <w:tcPr>
            <w:tcW w:w="900" w:type="dxa"/>
            <w:tcBorders>
              <w:top w:val="single" w:sz="4" w:space="0" w:color="000000"/>
              <w:left w:val="nil"/>
              <w:bottom w:val="double" w:sz="6" w:space="0" w:color="000000"/>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36,271,437</w:t>
            </w:r>
          </w:p>
        </w:tc>
        <w:tc>
          <w:tcPr>
            <w:tcW w:w="900" w:type="dxa"/>
            <w:tcBorders>
              <w:top w:val="single" w:sz="4" w:space="0" w:color="000000"/>
              <w:left w:val="nil"/>
              <w:bottom w:val="double" w:sz="6" w:space="0" w:color="000000"/>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11,616,032</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9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9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Īstermiņa</w:t>
            </w:r>
          </w:p>
        </w:tc>
        <w:tc>
          <w:tcPr>
            <w:tcW w:w="159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Gada procentu likme (%)</w:t>
            </w:r>
          </w:p>
        </w:tc>
        <w:tc>
          <w:tcPr>
            <w:tcW w:w="900" w:type="dxa"/>
            <w:vMerge w:val="restart"/>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Dzēšanas termiņš</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9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Aizņēmumi pret obligācijām</w:t>
            </w:r>
          </w:p>
        </w:tc>
        <w:tc>
          <w:tcPr>
            <w:tcW w:w="159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Obligāciju emisija 20 miljonu EUR vērtībā 1)</w:t>
            </w:r>
          </w:p>
        </w:tc>
        <w:tc>
          <w:tcPr>
            <w:tcW w:w="159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31.03.2021.</w:t>
            </w:r>
          </w:p>
        </w:tc>
        <w:tc>
          <w:tcPr>
            <w:tcW w:w="900" w:type="dxa"/>
            <w:tcBorders>
              <w:top w:val="single" w:sz="4" w:space="0" w:color="000000"/>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17,166,000</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Obligāciju emisija 10 miljonu EUR vērtībā 2)</w:t>
            </w:r>
          </w:p>
        </w:tc>
        <w:tc>
          <w:tcPr>
            <w:tcW w:w="159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31.03.2021.</w:t>
            </w:r>
          </w:p>
        </w:tc>
        <w:tc>
          <w:tcPr>
            <w:tcW w:w="900"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6,963,000</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Papildu uzkrātie procenti par obligācijām 6)</w:t>
            </w:r>
          </w:p>
        </w:tc>
        <w:tc>
          <w:tcPr>
            <w:tcW w:w="159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367,626</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Obligāciju iegādes izmaksas</w:t>
            </w:r>
          </w:p>
        </w:tc>
        <w:tc>
          <w:tcPr>
            <w:tcW w:w="159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(16,511)</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9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1800" w:type="dxa"/>
            <w:gridSpan w:val="2"/>
            <w:tcBorders>
              <w:top w:val="single" w:sz="4" w:space="0" w:color="000000"/>
              <w:left w:val="nil"/>
              <w:bottom w:val="nil"/>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24,480,115</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Savstarpējās kreditēšanas platformās piesaistīts finansējums</w:t>
            </w:r>
          </w:p>
        </w:tc>
        <w:tc>
          <w:tcPr>
            <w:tcW w:w="159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Savstarpējās kreditēšanas platformās piesaistīts finansējums 4)</w:t>
            </w:r>
          </w:p>
        </w:tc>
        <w:tc>
          <w:tcPr>
            <w:tcW w:w="159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 - 10.5%</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31.12.2028.</w:t>
            </w: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997,446</w:t>
            </w: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2,895,677</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403"/>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Uzkrātie procenti par savstarpējās kreditēšanas platformās piesaistīto finansējumu</w:t>
            </w:r>
          </w:p>
        </w:tc>
        <w:tc>
          <w:tcPr>
            <w:tcW w:w="159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27,368</w:t>
            </w: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60,521</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9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900" w:type="dxa"/>
            <w:tcBorders>
              <w:top w:val="single" w:sz="4" w:space="0" w:color="000000"/>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1,024,814</w:t>
            </w:r>
          </w:p>
        </w:tc>
        <w:tc>
          <w:tcPr>
            <w:tcW w:w="900" w:type="dxa"/>
            <w:tcBorders>
              <w:top w:val="single" w:sz="4" w:space="0" w:color="000000"/>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2,956,198</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p>
        </w:tc>
        <w:tc>
          <w:tcPr>
            <w:tcW w:w="159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9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Nomas saistības par lietošanas tiesību aktīviem</w:t>
            </w:r>
          </w:p>
        </w:tc>
        <w:tc>
          <w:tcPr>
            <w:tcW w:w="159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Nomas saistības par lietošanas tiesību aktīviem – telpas5)</w:t>
            </w:r>
          </w:p>
        </w:tc>
        <w:tc>
          <w:tcPr>
            <w:tcW w:w="159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2.14-2.96%</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līdz 1 gadam</w:t>
            </w: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128,051</w:t>
            </w: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151,844</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9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900" w:type="dxa"/>
            <w:tcBorders>
              <w:top w:val="single" w:sz="4" w:space="0" w:color="000000"/>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128,051</w:t>
            </w:r>
          </w:p>
        </w:tc>
        <w:tc>
          <w:tcPr>
            <w:tcW w:w="900" w:type="dxa"/>
            <w:tcBorders>
              <w:top w:val="single" w:sz="4" w:space="0" w:color="000000"/>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151,844</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Pārējie aizņēmumi</w:t>
            </w:r>
          </w:p>
        </w:tc>
        <w:tc>
          <w:tcPr>
            <w:tcW w:w="159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Aizņēmumi no bankām 7)</w:t>
            </w:r>
          </w:p>
        </w:tc>
        <w:tc>
          <w:tcPr>
            <w:tcW w:w="159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30.09.2023.</w:t>
            </w: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1,189,618</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Aizņēmumi no bankām 8)</w:t>
            </w:r>
          </w:p>
        </w:tc>
        <w:tc>
          <w:tcPr>
            <w:tcW w:w="159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26.02.2021.</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500,000</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Uzkrātie procenti par aizņēmumiem no bankām</w:t>
            </w:r>
          </w:p>
        </w:tc>
        <w:tc>
          <w:tcPr>
            <w:tcW w:w="159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208</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9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900" w:type="dxa"/>
            <w:tcBorders>
              <w:top w:val="single" w:sz="4" w:space="0" w:color="000000"/>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1,689,826</w:t>
            </w: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59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10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690" w:type="dxa"/>
            <w:gridSpan w:val="3"/>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ĪSTERMIŅA AIZŅĒMUMI KOPĀ:</w:t>
            </w:r>
          </w:p>
        </w:tc>
        <w:tc>
          <w:tcPr>
            <w:tcW w:w="900" w:type="dxa"/>
            <w:tcBorders>
              <w:top w:val="single" w:sz="4" w:space="0" w:color="000000"/>
              <w:left w:val="nil"/>
              <w:bottom w:val="double" w:sz="6" w:space="0" w:color="000000"/>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1,152,865</w:t>
            </w:r>
          </w:p>
        </w:tc>
        <w:tc>
          <w:tcPr>
            <w:tcW w:w="900" w:type="dxa"/>
            <w:tcBorders>
              <w:top w:val="single" w:sz="4" w:space="0" w:color="000000"/>
              <w:left w:val="nil"/>
              <w:bottom w:val="double" w:sz="6" w:space="0" w:color="000000"/>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29,277,983</w:t>
            </w:r>
          </w:p>
        </w:tc>
      </w:tr>
    </w:tbl>
    <w:p w:rsidR="00AF7AA5" w:rsidRPr="005D5A8D" w:rsidP="00CB3BC0" w14:paraId="4F34EA8C" w14:textId="1C2C8672">
      <w:pPr>
        <w:pageBreakBefore/>
        <w:spacing w:after="0" w:line="360" w:lineRule="auto"/>
        <w:jc w:val="both"/>
        <w:rPr>
          <w:rFonts w:ascii="Arial Narrow" w:eastAsia="Arial Narrow" w:hAnsi="Arial Narrow" w:cs="Arial Narrow"/>
          <w:b/>
          <w:bCs/>
          <w:sz w:val="16"/>
          <w:szCs w:val="16"/>
          <w:lang w:val="lv-LV"/>
        </w:rPr>
      </w:pPr>
      <w:bookmarkStart w:id="1211" w:name="RG_MARKER_6657"/>
      <w:bookmarkStart w:id="1212" w:name="RG_MARKER_6450"/>
      <w:r w:rsidRPr="005D5A8D">
        <w:rPr>
          <w:rFonts w:ascii="Arial Narrow" w:eastAsia="Arial Narrow" w:hAnsi="Arial Narrow" w:cs="Arial Narrow"/>
          <w:b/>
          <w:bCs/>
          <w:sz w:val="16"/>
          <w:szCs w:val="16"/>
          <w:lang w:val="lv-LV"/>
        </w:rPr>
        <w:t>31</w:t>
      </w:r>
      <w:r w:rsidRPr="005D5A8D">
        <w:rPr>
          <w:rFonts w:ascii="Arial Narrow" w:eastAsia="Arial Narrow" w:hAnsi="Arial Narrow" w:cs="Arial Narrow"/>
          <w:b/>
          <w:bCs/>
          <w:sz w:val="16"/>
          <w:szCs w:val="16"/>
          <w:lang w:val="lv-LV"/>
        </w:rPr>
        <w:t>. Aizņēmumi (turpinājums)</w:t>
      </w:r>
      <w:bookmarkEnd w:id="1212"/>
      <w:bookmarkEnd w:id="1211"/>
    </w:p>
    <w:p w:rsidR="008B1FD5" w:rsidRPr="008B1FD5" w:rsidP="00F82485" w14:paraId="74E849C0" w14:textId="77777777">
      <w:pPr>
        <w:spacing w:line="360" w:lineRule="auto"/>
        <w:jc w:val="both"/>
        <w:rPr>
          <w:rFonts w:ascii="Arial Narrow" w:eastAsia="Arial Narrow" w:hAnsi="Arial Narrow" w:cs="Arial Narrow"/>
          <w:sz w:val="16"/>
          <w:szCs w:val="16"/>
          <w:lang w:val="lv-LV"/>
        </w:rPr>
      </w:pPr>
      <w:r w:rsidRPr="008B1FD5">
        <w:rPr>
          <w:rFonts w:ascii="Arial Narrow" w:eastAsia="Arial Narrow" w:hAnsi="Arial Narrow" w:cs="Arial Narrow"/>
          <w:sz w:val="16"/>
          <w:szCs w:val="16"/>
          <w:lang w:val="lv-LV"/>
        </w:rPr>
        <w:t xml:space="preserve">1) 2014. gada 17. martā Mātes sabiedrība Latvijas Centrālajā depozitārijā reģistrēja obligāciju emisiju 20 miljonu eiro apmērā. </w:t>
      </w:r>
    </w:p>
    <w:p w:rsidR="008B1FD5" w:rsidRPr="008B1FD5" w:rsidP="00F82485" w14:paraId="6A21D88F" w14:textId="5E9D45A1">
      <w:pPr>
        <w:spacing w:line="360" w:lineRule="auto"/>
        <w:jc w:val="both"/>
        <w:rPr>
          <w:rFonts w:ascii="Arial Narrow" w:eastAsia="Arial Narrow" w:hAnsi="Arial Narrow" w:cs="Arial Narrow"/>
          <w:sz w:val="16"/>
          <w:szCs w:val="16"/>
          <w:lang w:val="lv-LV"/>
        </w:rPr>
      </w:pPr>
      <w:r w:rsidRPr="008B1FD5">
        <w:rPr>
          <w:rFonts w:ascii="Arial Narrow" w:eastAsia="Arial Narrow" w:hAnsi="Arial Narrow" w:cs="Arial Narrow"/>
          <w:sz w:val="16"/>
          <w:szCs w:val="16"/>
          <w:lang w:val="lv-LV"/>
        </w:rPr>
        <w:t>2020. gada 31. decembrī Koncerns ar obligācijām bija piesaistījis 17 166 000 EUR. Lai samazinātu savu neto parādsaistību pozīci</w:t>
      </w:r>
      <w:r w:rsidRPr="008B1FD5">
        <w:rPr>
          <w:rFonts w:ascii="Arial Narrow" w:eastAsia="Arial Narrow" w:hAnsi="Arial Narrow" w:cs="Arial Narrow"/>
          <w:sz w:val="16"/>
          <w:szCs w:val="16"/>
          <w:lang w:val="lv-LV"/>
        </w:rPr>
        <w:t>ju, 2020. gadā Koncerns iegādājās pašu emitētās obligācijas.</w:t>
      </w:r>
      <w:r>
        <w:rPr>
          <w:rFonts w:ascii="Arial Narrow" w:eastAsia="Arial Narrow" w:hAnsi="Arial Narrow" w:cs="Arial Narrow"/>
          <w:sz w:val="16"/>
          <w:szCs w:val="16"/>
          <w:lang w:val="lv-LV"/>
        </w:rPr>
        <w:t xml:space="preserve"> </w:t>
      </w:r>
      <w:r w:rsidRPr="008B1FD5">
        <w:rPr>
          <w:rFonts w:ascii="Arial Narrow" w:eastAsia="Arial Narrow" w:hAnsi="Arial Narrow" w:cs="Arial Narrow"/>
          <w:sz w:val="16"/>
          <w:szCs w:val="16"/>
          <w:lang w:val="lv-LV"/>
        </w:rPr>
        <w:t>Obligāciju emisija nav nodrošināta. Obligācijas emitētas nominālajā vērtībā, to dzēšanas termiņš ir septiņi gadi, fiksētā kupona likme – 10% gadā, kas tiek izmaksāta katru mēnesi ar pēcmaksu. 201</w:t>
      </w:r>
      <w:r w:rsidRPr="008B1FD5">
        <w:rPr>
          <w:rFonts w:ascii="Arial Narrow" w:eastAsia="Arial Narrow" w:hAnsi="Arial Narrow" w:cs="Arial Narrow"/>
          <w:sz w:val="16"/>
          <w:szCs w:val="16"/>
          <w:lang w:val="lv-LV"/>
        </w:rPr>
        <w:t>4. gada 11. novembrī obligācijas tika iekļautas NASDAQ OMX Baltijas biržas parāda vērtspapīru sarakstā, kur tās ir pieejamas publiskai tirdzniecībai.</w:t>
      </w:r>
      <w:r w:rsidRPr="008B1FD5">
        <w:rPr>
          <w:rFonts w:ascii="Arial Narrow" w:eastAsia="Arial Narrow" w:hAnsi="Arial Narrow" w:cs="Arial Narrow"/>
          <w:sz w:val="16"/>
          <w:szCs w:val="16"/>
          <w:lang w:val="lv-LV"/>
        </w:rPr>
        <w:tab/>
      </w:r>
      <w:r w:rsidRPr="008B1FD5">
        <w:rPr>
          <w:rFonts w:ascii="Arial Narrow" w:eastAsia="Arial Narrow" w:hAnsi="Arial Narrow" w:cs="Arial Narrow"/>
          <w:sz w:val="16"/>
          <w:szCs w:val="16"/>
          <w:lang w:val="lv-LV"/>
        </w:rPr>
        <w:tab/>
      </w:r>
    </w:p>
    <w:p w:rsidR="008B1FD5" w:rsidRPr="008B1FD5" w:rsidP="00F82485" w14:paraId="2F7DE361" w14:textId="77777777">
      <w:pPr>
        <w:spacing w:line="360" w:lineRule="auto"/>
        <w:jc w:val="both"/>
        <w:rPr>
          <w:rFonts w:ascii="Arial Narrow" w:eastAsia="Arial Narrow" w:hAnsi="Arial Narrow" w:cs="Arial Narrow"/>
          <w:sz w:val="16"/>
          <w:szCs w:val="16"/>
          <w:lang w:val="lv-LV"/>
        </w:rPr>
      </w:pPr>
      <w:r w:rsidRPr="008B1FD5">
        <w:rPr>
          <w:rFonts w:ascii="Arial Narrow" w:eastAsia="Arial Narrow" w:hAnsi="Arial Narrow" w:cs="Arial Narrow"/>
          <w:sz w:val="16"/>
          <w:szCs w:val="16"/>
          <w:lang w:val="lv-LV"/>
        </w:rPr>
        <w:t>2) 2017. gada 1. decembrī Mātes sabiedrība Latvijas Centrālajā depozitārijā reģistrēja obligāciju emisij</w:t>
      </w:r>
      <w:r w:rsidRPr="008B1FD5">
        <w:rPr>
          <w:rFonts w:ascii="Arial Narrow" w:eastAsia="Arial Narrow" w:hAnsi="Arial Narrow" w:cs="Arial Narrow"/>
          <w:sz w:val="16"/>
          <w:szCs w:val="16"/>
          <w:lang w:val="lv-LV"/>
        </w:rPr>
        <w:t>u 10 miljonu eiro apmērā.</w:t>
      </w:r>
      <w:r w:rsidRPr="008B1FD5">
        <w:rPr>
          <w:rFonts w:ascii="Arial Narrow" w:eastAsia="Arial Narrow" w:hAnsi="Arial Narrow" w:cs="Arial Narrow"/>
          <w:sz w:val="16"/>
          <w:szCs w:val="16"/>
          <w:lang w:val="lv-LV"/>
        </w:rPr>
        <w:tab/>
      </w:r>
    </w:p>
    <w:p w:rsidR="008B1FD5" w:rsidRPr="008B1FD5" w:rsidP="00F82485" w14:paraId="18D7C4E3" w14:textId="700DB2FC">
      <w:pPr>
        <w:spacing w:line="360" w:lineRule="auto"/>
        <w:jc w:val="both"/>
        <w:rPr>
          <w:rFonts w:ascii="Arial Narrow" w:eastAsia="Arial Narrow" w:hAnsi="Arial Narrow" w:cs="Arial Narrow"/>
          <w:sz w:val="16"/>
          <w:szCs w:val="16"/>
          <w:lang w:val="lv-LV"/>
        </w:rPr>
      </w:pPr>
      <w:r w:rsidRPr="008B1FD5">
        <w:rPr>
          <w:rFonts w:ascii="Arial Narrow" w:eastAsia="Arial Narrow" w:hAnsi="Arial Narrow" w:cs="Arial Narrow"/>
          <w:sz w:val="16"/>
          <w:szCs w:val="16"/>
          <w:lang w:val="lv-LV"/>
        </w:rPr>
        <w:t>2020. gada 31. decembrī Koncerns ar obligācijām bija piesaistījis 6 963 000 EUR. Lai samazinātu savu neto parādsaistību pozīciju, 2020. gadā Koncerns iegādājās pašu emitētās obligācijas.</w:t>
      </w:r>
      <w:r>
        <w:rPr>
          <w:rFonts w:ascii="Arial Narrow" w:eastAsia="Arial Narrow" w:hAnsi="Arial Narrow" w:cs="Arial Narrow"/>
          <w:sz w:val="16"/>
          <w:szCs w:val="16"/>
          <w:lang w:val="lv-LV"/>
        </w:rPr>
        <w:t xml:space="preserve"> </w:t>
      </w:r>
      <w:r w:rsidRPr="008B1FD5">
        <w:rPr>
          <w:rFonts w:ascii="Arial Narrow" w:eastAsia="Arial Narrow" w:hAnsi="Arial Narrow" w:cs="Arial Narrow"/>
          <w:sz w:val="16"/>
          <w:szCs w:val="16"/>
          <w:lang w:val="lv-LV"/>
        </w:rPr>
        <w:t>Obligāciju emisija nav nodrošināta. Obligā</w:t>
      </w:r>
      <w:r w:rsidRPr="008B1FD5">
        <w:rPr>
          <w:rFonts w:ascii="Arial Narrow" w:eastAsia="Arial Narrow" w:hAnsi="Arial Narrow" w:cs="Arial Narrow"/>
          <w:sz w:val="16"/>
          <w:szCs w:val="16"/>
          <w:lang w:val="lv-LV"/>
        </w:rPr>
        <w:t>cijas emitētas nominālajā vērtībā, to dzēšanas termiņš ir trīs gadi un četri mēneši, fiksēta kupona likme ir 10% gadā, kas tiek izmaksāta katru mēnesi ar pēcapmaksu. Obligācijas iekļautas NASDAQ OMX Baltijas biržas parāda vērtspapīru sarakstā, kur tās ir p</w:t>
      </w:r>
      <w:r w:rsidRPr="008B1FD5">
        <w:rPr>
          <w:rFonts w:ascii="Arial Narrow" w:eastAsia="Arial Narrow" w:hAnsi="Arial Narrow" w:cs="Arial Narrow"/>
          <w:sz w:val="16"/>
          <w:szCs w:val="16"/>
          <w:lang w:val="lv-LV"/>
        </w:rPr>
        <w:t xml:space="preserve">ieejamas privātajai tirdzniecībai. </w:t>
      </w:r>
      <w:r w:rsidRPr="008B1FD5">
        <w:rPr>
          <w:rFonts w:ascii="Arial Narrow" w:eastAsia="Arial Narrow" w:hAnsi="Arial Narrow" w:cs="Arial Narrow"/>
          <w:sz w:val="16"/>
          <w:szCs w:val="16"/>
          <w:lang w:val="lv-LV"/>
        </w:rPr>
        <w:t>2019. gada martā AS “mogo” obligāciju turētāji akceptēja grozījumus abu emisiju prospektos. Grozījumi paredz, ka obligāciju pamatsumma tiks atmaksāta vienā maksājumā 2021. gada 31. martā.</w:t>
      </w:r>
      <w:r w:rsidRPr="008B1FD5">
        <w:rPr>
          <w:rFonts w:ascii="Arial Narrow" w:eastAsia="Arial Narrow" w:hAnsi="Arial Narrow" w:cs="Arial Narrow"/>
          <w:sz w:val="16"/>
          <w:szCs w:val="16"/>
          <w:lang w:val="lv-LV"/>
        </w:rPr>
        <w:tab/>
      </w:r>
      <w:r w:rsidRPr="008B1FD5">
        <w:rPr>
          <w:rFonts w:ascii="Arial Narrow" w:eastAsia="Arial Narrow" w:hAnsi="Arial Narrow" w:cs="Arial Narrow"/>
          <w:sz w:val="16"/>
          <w:szCs w:val="16"/>
          <w:lang w:val="lv-LV"/>
        </w:rPr>
        <w:tab/>
      </w:r>
    </w:p>
    <w:p w:rsidR="008B1FD5" w:rsidRPr="008B1FD5" w:rsidP="00F82485" w14:paraId="28A8FF93" w14:textId="77777777">
      <w:pPr>
        <w:spacing w:line="360" w:lineRule="auto"/>
        <w:jc w:val="both"/>
        <w:rPr>
          <w:rFonts w:ascii="Arial Narrow" w:eastAsia="Arial Narrow" w:hAnsi="Arial Narrow" w:cs="Arial Narrow"/>
          <w:sz w:val="16"/>
          <w:szCs w:val="16"/>
          <w:lang w:val="lv-LV"/>
        </w:rPr>
      </w:pPr>
      <w:r w:rsidRPr="008B1FD5">
        <w:rPr>
          <w:rFonts w:ascii="Arial Narrow" w:eastAsia="Arial Narrow" w:hAnsi="Arial Narrow" w:cs="Arial Narrow"/>
          <w:sz w:val="16"/>
          <w:szCs w:val="16"/>
          <w:lang w:val="lv-LV"/>
        </w:rPr>
        <w:t>3) 2021. gada 1. martā, īsteno</w:t>
      </w:r>
      <w:r w:rsidRPr="008B1FD5">
        <w:rPr>
          <w:rFonts w:ascii="Arial Narrow" w:eastAsia="Arial Narrow" w:hAnsi="Arial Narrow" w:cs="Arial Narrow"/>
          <w:sz w:val="16"/>
          <w:szCs w:val="16"/>
          <w:lang w:val="lv-LV"/>
        </w:rPr>
        <w:t>jot publisko piedāvājumu, AS “mogo” emitēja nodrošinātās korporatīvās obligācijas (LV0000802452) EUR 30 miljonu vērtībā, kuras no 2021. gada 31. marta atrodas regulētā tirgū – Nasdaq Riga Baltijas Regulētajā tirgū.</w:t>
      </w:r>
    </w:p>
    <w:p w:rsidR="008B1FD5" w:rsidP="00F82485" w14:paraId="4E6F47E3" w14:textId="77777777">
      <w:pPr>
        <w:spacing w:line="360" w:lineRule="auto"/>
        <w:jc w:val="both"/>
        <w:rPr>
          <w:rFonts w:ascii="Arial Narrow" w:eastAsia="Arial Narrow" w:hAnsi="Arial Narrow" w:cs="Arial Narrow"/>
          <w:sz w:val="16"/>
          <w:szCs w:val="16"/>
          <w:lang w:val="lv-LV"/>
        </w:rPr>
      </w:pPr>
      <w:r w:rsidRPr="008B1FD5">
        <w:rPr>
          <w:rFonts w:ascii="Arial Narrow" w:eastAsia="Arial Narrow" w:hAnsi="Arial Narrow" w:cs="Arial Narrow"/>
          <w:sz w:val="16"/>
          <w:szCs w:val="16"/>
          <w:lang w:val="lv-LV"/>
        </w:rPr>
        <w:t>Obligācijas ir emitētas ar nominālajā vēr</w:t>
      </w:r>
      <w:r w:rsidRPr="008B1FD5">
        <w:rPr>
          <w:rFonts w:ascii="Arial Narrow" w:eastAsia="Arial Narrow" w:hAnsi="Arial Narrow" w:cs="Arial Narrow"/>
          <w:sz w:val="16"/>
          <w:szCs w:val="16"/>
          <w:lang w:val="lv-LV"/>
        </w:rPr>
        <w:t xml:space="preserve">tībā, to dzēšanas termiņš ir trīs gadi, un fiksētā kupona likme 11% gadā, kas tiek izmaksāta katru mēnesi ar pēcmaksu. </w:t>
      </w:r>
      <w:r w:rsidRPr="008B1FD5">
        <w:rPr>
          <w:rFonts w:ascii="Arial Narrow" w:eastAsia="Arial Narrow" w:hAnsi="Arial Narrow" w:cs="Arial Narrow"/>
          <w:sz w:val="16"/>
          <w:szCs w:val="16"/>
          <w:lang w:val="lv-LV"/>
        </w:rPr>
        <w:tab/>
      </w:r>
    </w:p>
    <w:p w:rsidR="008B1FD5" w:rsidRPr="008B1FD5" w:rsidP="00F82485" w14:paraId="3D8B3482" w14:textId="5BB1C8C0">
      <w:pPr>
        <w:spacing w:line="360" w:lineRule="auto"/>
        <w:jc w:val="both"/>
        <w:rPr>
          <w:rFonts w:ascii="Arial Narrow" w:eastAsia="Arial Narrow" w:hAnsi="Arial Narrow" w:cs="Arial Narrow"/>
          <w:sz w:val="16"/>
          <w:szCs w:val="16"/>
          <w:lang w:val="lv-LV"/>
        </w:rPr>
      </w:pPr>
      <w:r w:rsidRPr="008B1FD5">
        <w:rPr>
          <w:rFonts w:ascii="Arial Narrow" w:eastAsia="Arial Narrow" w:hAnsi="Arial Narrow" w:cs="Arial Narrow"/>
          <w:sz w:val="16"/>
          <w:szCs w:val="16"/>
          <w:lang w:val="lv-LV"/>
        </w:rPr>
        <w:t>Papildu informācija ir sniegta 43. piezīmē.</w:t>
      </w:r>
      <w:r w:rsidRPr="008B1FD5">
        <w:rPr>
          <w:rFonts w:ascii="Arial Narrow" w:eastAsia="Arial Narrow" w:hAnsi="Arial Narrow" w:cs="Arial Narrow"/>
          <w:sz w:val="16"/>
          <w:szCs w:val="16"/>
          <w:lang w:val="lv-LV"/>
        </w:rPr>
        <w:tab/>
      </w:r>
      <w:r w:rsidRPr="008B1FD5">
        <w:rPr>
          <w:rFonts w:ascii="Arial Narrow" w:eastAsia="Arial Narrow" w:hAnsi="Arial Narrow" w:cs="Arial Narrow"/>
          <w:sz w:val="16"/>
          <w:szCs w:val="16"/>
          <w:lang w:val="lv-LV"/>
        </w:rPr>
        <w:tab/>
        <w:t xml:space="preserve"> </w:t>
      </w:r>
      <w:r w:rsidRPr="008B1FD5">
        <w:rPr>
          <w:rFonts w:ascii="Arial Narrow" w:eastAsia="Arial Narrow" w:hAnsi="Arial Narrow" w:cs="Arial Narrow"/>
          <w:sz w:val="16"/>
          <w:szCs w:val="16"/>
          <w:lang w:val="lv-LV"/>
        </w:rPr>
        <w:tab/>
        <w:t xml:space="preserve"> </w:t>
      </w:r>
      <w:r w:rsidRPr="008B1FD5">
        <w:rPr>
          <w:rFonts w:ascii="Arial Narrow" w:eastAsia="Arial Narrow" w:hAnsi="Arial Narrow" w:cs="Arial Narrow"/>
          <w:sz w:val="16"/>
          <w:szCs w:val="16"/>
          <w:lang w:val="lv-LV"/>
        </w:rPr>
        <w:tab/>
        <w:t xml:space="preserve"> </w:t>
      </w:r>
      <w:r w:rsidRPr="008B1FD5">
        <w:rPr>
          <w:rFonts w:ascii="Arial Narrow" w:eastAsia="Arial Narrow" w:hAnsi="Arial Narrow" w:cs="Arial Narrow"/>
          <w:sz w:val="16"/>
          <w:szCs w:val="16"/>
          <w:lang w:val="lv-LV"/>
        </w:rPr>
        <w:tab/>
        <w:t xml:space="preserve"> </w:t>
      </w:r>
      <w:r w:rsidRPr="008B1FD5">
        <w:rPr>
          <w:rFonts w:ascii="Arial Narrow" w:eastAsia="Arial Narrow" w:hAnsi="Arial Narrow" w:cs="Arial Narrow"/>
          <w:sz w:val="16"/>
          <w:szCs w:val="16"/>
          <w:lang w:val="lv-LV"/>
        </w:rPr>
        <w:tab/>
        <w:t xml:space="preserve"> </w:t>
      </w:r>
      <w:r w:rsidRPr="008B1FD5">
        <w:rPr>
          <w:rFonts w:ascii="Arial Narrow" w:eastAsia="Arial Narrow" w:hAnsi="Arial Narrow" w:cs="Arial Narrow"/>
          <w:sz w:val="16"/>
          <w:szCs w:val="16"/>
          <w:lang w:val="lv-LV"/>
        </w:rPr>
        <w:tab/>
        <w:t xml:space="preserve"> </w:t>
      </w:r>
      <w:r w:rsidRPr="008B1FD5">
        <w:rPr>
          <w:rFonts w:ascii="Arial Narrow" w:eastAsia="Arial Narrow" w:hAnsi="Arial Narrow" w:cs="Arial Narrow"/>
          <w:sz w:val="16"/>
          <w:szCs w:val="16"/>
          <w:lang w:val="lv-LV"/>
        </w:rPr>
        <w:tab/>
        <w:t xml:space="preserve"> </w:t>
      </w:r>
      <w:r w:rsidRPr="008B1FD5">
        <w:rPr>
          <w:rFonts w:ascii="Arial Narrow" w:eastAsia="Arial Narrow" w:hAnsi="Arial Narrow" w:cs="Arial Narrow"/>
          <w:sz w:val="16"/>
          <w:szCs w:val="16"/>
          <w:lang w:val="lv-LV"/>
        </w:rPr>
        <w:tab/>
        <w:t xml:space="preserve"> </w:t>
      </w:r>
      <w:r w:rsidRPr="008B1FD5">
        <w:rPr>
          <w:rFonts w:ascii="Arial Narrow" w:eastAsia="Arial Narrow" w:hAnsi="Arial Narrow" w:cs="Arial Narrow"/>
          <w:sz w:val="16"/>
          <w:szCs w:val="16"/>
          <w:lang w:val="lv-LV"/>
        </w:rPr>
        <w:tab/>
      </w:r>
    </w:p>
    <w:p w:rsidR="008B1FD5" w:rsidRPr="008B1FD5" w:rsidP="00F82485" w14:paraId="206A3000" w14:textId="77777777">
      <w:pPr>
        <w:spacing w:line="360" w:lineRule="auto"/>
        <w:jc w:val="both"/>
        <w:rPr>
          <w:rFonts w:ascii="Arial Narrow" w:eastAsia="Arial Narrow" w:hAnsi="Arial Narrow" w:cs="Arial Narrow"/>
          <w:sz w:val="16"/>
          <w:szCs w:val="16"/>
          <w:lang w:val="lv-LV"/>
        </w:rPr>
      </w:pPr>
      <w:r w:rsidRPr="008B1FD5">
        <w:rPr>
          <w:rFonts w:ascii="Arial Narrow" w:eastAsia="Arial Narrow" w:hAnsi="Arial Narrow" w:cs="Arial Narrow"/>
          <w:sz w:val="16"/>
          <w:szCs w:val="16"/>
          <w:lang w:val="lv-LV"/>
        </w:rPr>
        <w:t>4)  Savstarpējās kreditēšanas platformā piesaistītais finansējums tiek pā</w:t>
      </w:r>
      <w:r w:rsidRPr="008B1FD5">
        <w:rPr>
          <w:rFonts w:ascii="Arial Narrow" w:eastAsia="Arial Narrow" w:hAnsi="Arial Narrow" w:cs="Arial Narrow"/>
          <w:sz w:val="16"/>
          <w:szCs w:val="16"/>
          <w:lang w:val="lv-LV"/>
        </w:rPr>
        <w:t xml:space="preserve">rskaitīts uz Koncerna bankas kontiem reizi nedēļā. 2020. gada decembrī Koncerns bija atpircis no savstarpējās kreditēšanas platformas vairāk kredītu nekā ievietojis tajā, salīdzinot ar 2020. gada decembri. </w:t>
      </w:r>
      <w:r w:rsidRPr="008B1FD5">
        <w:rPr>
          <w:rFonts w:ascii="Arial Narrow" w:eastAsia="Arial Narrow" w:hAnsi="Arial Narrow" w:cs="Arial Narrow"/>
          <w:sz w:val="16"/>
          <w:szCs w:val="16"/>
          <w:lang w:val="lv-LV"/>
        </w:rPr>
        <w:tab/>
      </w:r>
      <w:r w:rsidRPr="008B1FD5">
        <w:rPr>
          <w:rFonts w:ascii="Arial Narrow" w:eastAsia="Arial Narrow" w:hAnsi="Arial Narrow" w:cs="Arial Narrow"/>
          <w:sz w:val="16"/>
          <w:szCs w:val="16"/>
          <w:lang w:val="lv-LV"/>
        </w:rPr>
        <w:tab/>
      </w:r>
    </w:p>
    <w:p w:rsidR="008B1FD5" w:rsidRPr="008B1FD5" w:rsidP="00F82485" w14:paraId="24C0427F" w14:textId="77777777">
      <w:pPr>
        <w:spacing w:line="360" w:lineRule="auto"/>
        <w:jc w:val="both"/>
        <w:rPr>
          <w:rFonts w:ascii="Arial Narrow" w:eastAsia="Arial Narrow" w:hAnsi="Arial Narrow" w:cs="Arial Narrow"/>
          <w:sz w:val="16"/>
          <w:szCs w:val="16"/>
          <w:lang w:val="lv-LV"/>
        </w:rPr>
      </w:pPr>
      <w:r w:rsidRPr="008B1FD5">
        <w:rPr>
          <w:rFonts w:ascii="Arial Narrow" w:eastAsia="Arial Narrow" w:hAnsi="Arial Narrow" w:cs="Arial Narrow"/>
          <w:sz w:val="16"/>
          <w:szCs w:val="16"/>
          <w:lang w:val="lv-LV"/>
        </w:rPr>
        <w:t xml:space="preserve">5) Koncerns ir noslēdzis vairākus biroja telpu </w:t>
      </w:r>
      <w:r w:rsidRPr="008B1FD5">
        <w:rPr>
          <w:rFonts w:ascii="Arial Narrow" w:eastAsia="Arial Narrow" w:hAnsi="Arial Narrow" w:cs="Arial Narrow"/>
          <w:sz w:val="16"/>
          <w:szCs w:val="16"/>
          <w:lang w:val="lv-LV"/>
        </w:rPr>
        <w:t>un filiāļu nomas līgumus, kā arī vairākus transportlīdzekļu nomas līgumus. (2. piezīme. SFPS Nr. 16: Noma). Iepriekšējā pārskata gadā Koncerns slēdza savas filiāles, izņemot filiāli "Ceļu satiksmes drošības direkcijā", kā rezultātā tika lauzti gandrīz visi</w:t>
      </w:r>
      <w:r w:rsidRPr="008B1FD5">
        <w:rPr>
          <w:rFonts w:ascii="Arial Narrow" w:eastAsia="Arial Narrow" w:hAnsi="Arial Narrow" w:cs="Arial Narrow"/>
          <w:sz w:val="16"/>
          <w:szCs w:val="16"/>
          <w:lang w:val="lv-LV"/>
        </w:rPr>
        <w:t xml:space="preserve"> filiāļu nomas līgumi, kā arī transportlīdzekļu nomas līgumi. 2021.gadā Koncerns ir noslēdzis jaunu biroja nomas līgumu ar saistīto uzņēmumu AS Eleving Vehicle Finance uz laiku līdz 2029.gada augustam.</w:t>
      </w:r>
      <w:r w:rsidRPr="008B1FD5">
        <w:rPr>
          <w:rFonts w:ascii="Arial Narrow" w:eastAsia="Arial Narrow" w:hAnsi="Arial Narrow" w:cs="Arial Narrow"/>
          <w:sz w:val="16"/>
          <w:szCs w:val="16"/>
          <w:lang w:val="lv-LV"/>
        </w:rPr>
        <w:tab/>
      </w:r>
    </w:p>
    <w:p w:rsidR="008B1FD5" w:rsidRPr="008B1FD5" w:rsidP="00F82485" w14:paraId="7EC3DB73" w14:textId="77777777">
      <w:pPr>
        <w:spacing w:line="360" w:lineRule="auto"/>
        <w:jc w:val="both"/>
        <w:rPr>
          <w:rFonts w:ascii="Arial Narrow" w:eastAsia="Arial Narrow" w:hAnsi="Arial Narrow" w:cs="Arial Narrow"/>
          <w:sz w:val="16"/>
          <w:szCs w:val="16"/>
          <w:lang w:val="lv-LV"/>
        </w:rPr>
      </w:pPr>
      <w:r w:rsidRPr="008B1FD5">
        <w:rPr>
          <w:rFonts w:ascii="Arial Narrow" w:eastAsia="Arial Narrow" w:hAnsi="Arial Narrow" w:cs="Arial Narrow"/>
          <w:sz w:val="16"/>
          <w:szCs w:val="16"/>
          <w:lang w:val="lv-LV"/>
        </w:rPr>
        <w:t>6) Posteni veido uzkrātie procenti, kas būs jāmaksā o</w:t>
      </w:r>
      <w:r w:rsidRPr="008B1FD5">
        <w:rPr>
          <w:rFonts w:ascii="Arial Narrow" w:eastAsia="Arial Narrow" w:hAnsi="Arial Narrow" w:cs="Arial Narrow"/>
          <w:sz w:val="16"/>
          <w:szCs w:val="16"/>
          <w:lang w:val="lv-LV"/>
        </w:rPr>
        <w:t>bligāciju dzēšanas termiņā, tāpēc uzkrātie procenti 2021. gadā ir klasificēti kā ilgtermiņa, bet 2020. gadā – kā īstermiņa.</w:t>
      </w:r>
      <w:r w:rsidRPr="008B1FD5">
        <w:rPr>
          <w:rFonts w:ascii="Arial Narrow" w:eastAsia="Arial Narrow" w:hAnsi="Arial Narrow" w:cs="Arial Narrow"/>
          <w:sz w:val="16"/>
          <w:szCs w:val="16"/>
          <w:lang w:val="lv-LV"/>
        </w:rPr>
        <w:tab/>
      </w:r>
    </w:p>
    <w:p w:rsidR="008B1FD5" w:rsidRPr="008B1FD5" w:rsidP="00F82485" w14:paraId="3AC6B866" w14:textId="68D436C2">
      <w:pPr>
        <w:spacing w:line="360" w:lineRule="auto"/>
        <w:jc w:val="both"/>
        <w:rPr>
          <w:rFonts w:ascii="Arial Narrow" w:eastAsia="Arial Narrow" w:hAnsi="Arial Narrow" w:cs="Arial Narrow"/>
          <w:sz w:val="16"/>
          <w:szCs w:val="16"/>
          <w:lang w:val="lv-LV"/>
        </w:rPr>
      </w:pPr>
      <w:r w:rsidRPr="008B1FD5">
        <w:rPr>
          <w:rFonts w:ascii="Arial Narrow" w:eastAsia="Arial Narrow" w:hAnsi="Arial Narrow" w:cs="Arial Narrow"/>
          <w:sz w:val="16"/>
          <w:szCs w:val="16"/>
          <w:lang w:val="lv-LV"/>
        </w:rPr>
        <w:t>7) 2019. gada 2. augustā AS "Citadele banka" piešķīra AS “mogo”(Latvija), UAB "mogo LT"(Lietuva) un OU "mogo"(Igaunija) kredītlīnij</w:t>
      </w:r>
      <w:r w:rsidRPr="008B1FD5">
        <w:rPr>
          <w:rFonts w:ascii="Arial Narrow" w:eastAsia="Arial Narrow" w:hAnsi="Arial Narrow" w:cs="Arial Narrow"/>
          <w:sz w:val="16"/>
          <w:szCs w:val="16"/>
          <w:lang w:val="lv-LV"/>
        </w:rPr>
        <w:t>u līdz 10 miljonu eiro apmērā ar 8% un 6 mēnešu EURIBOR gadā, lai pārfinansētu esošās parādsaistības. Līgums tika pārksatīts 2021. gada novembrī un kredītlīnijas limits tika paaugstināts līdz 15 miljoniem eiro ar 6mēnesū mainīgo EURIBOR + 7.5% vai 6 mēnešu</w:t>
      </w:r>
      <w:r w:rsidRPr="008B1FD5">
        <w:rPr>
          <w:rFonts w:ascii="Arial Narrow" w:eastAsia="Arial Narrow" w:hAnsi="Arial Narrow" w:cs="Arial Narrow"/>
          <w:sz w:val="16"/>
          <w:szCs w:val="16"/>
          <w:lang w:val="lv-LV"/>
        </w:rPr>
        <w:t xml:space="preserve"> EURIBOR + 8% likmi atkarībā no summas. Līguma beigu termiņš ir 2023. gada 30. septembris.</w:t>
      </w:r>
    </w:p>
    <w:p w:rsidR="008B1FD5" w:rsidRPr="008B1FD5" w:rsidP="00F82485" w14:paraId="749CF100" w14:textId="77777777">
      <w:pPr>
        <w:spacing w:line="360" w:lineRule="auto"/>
        <w:jc w:val="both"/>
        <w:rPr>
          <w:rFonts w:ascii="Arial Narrow" w:eastAsia="Arial Narrow" w:hAnsi="Arial Narrow" w:cs="Arial Narrow"/>
          <w:sz w:val="16"/>
          <w:szCs w:val="16"/>
          <w:lang w:val="lv-LV"/>
        </w:rPr>
      </w:pPr>
      <w:r w:rsidRPr="008B1FD5">
        <w:rPr>
          <w:rFonts w:ascii="Arial Narrow" w:eastAsia="Arial Narrow" w:hAnsi="Arial Narrow" w:cs="Arial Narrow"/>
          <w:sz w:val="16"/>
          <w:szCs w:val="16"/>
          <w:lang w:val="lv-LV"/>
        </w:rPr>
        <w:t>8) 2020. gada 29. decembrī AS "Signet Bank" piešķīra AS “mogo” kredītlīniju EUR 500 000 apmērā. Līguma beigu termiņš iestājas 2021. gada februārī. Aizņēmuma pamatsum</w:t>
      </w:r>
      <w:r w:rsidRPr="008B1FD5">
        <w:rPr>
          <w:rFonts w:ascii="Arial Narrow" w:eastAsia="Arial Narrow" w:hAnsi="Arial Narrow" w:cs="Arial Narrow"/>
          <w:sz w:val="16"/>
          <w:szCs w:val="16"/>
          <w:lang w:val="lv-LV"/>
        </w:rPr>
        <w:t>ma un uzkrātie procenti tika atmaksāti 2021. gada februārī.</w:t>
      </w:r>
      <w:r w:rsidRPr="008B1FD5">
        <w:rPr>
          <w:rFonts w:ascii="Arial Narrow" w:eastAsia="Arial Narrow" w:hAnsi="Arial Narrow" w:cs="Arial Narrow"/>
          <w:sz w:val="16"/>
          <w:szCs w:val="16"/>
          <w:lang w:val="lv-LV"/>
        </w:rPr>
        <w:tab/>
      </w:r>
    </w:p>
    <w:p w:rsidR="008B1FD5" w:rsidP="00F82485" w14:paraId="43D685EF" w14:textId="25678B5C">
      <w:pPr>
        <w:spacing w:line="360" w:lineRule="auto"/>
        <w:jc w:val="both"/>
        <w:rPr>
          <w:rFonts w:ascii="Arial Narrow" w:eastAsia="Arial Narrow" w:hAnsi="Arial Narrow" w:cs="Arial Narrow"/>
          <w:sz w:val="16"/>
          <w:szCs w:val="16"/>
          <w:lang w:val="lv-LV"/>
        </w:rPr>
      </w:pPr>
      <w:r w:rsidRPr="008B1FD5">
        <w:rPr>
          <w:rFonts w:ascii="Arial Narrow" w:eastAsia="Arial Narrow" w:hAnsi="Arial Narrow" w:cs="Arial Narrow"/>
          <w:sz w:val="16"/>
          <w:szCs w:val="16"/>
          <w:lang w:val="lv-LV"/>
        </w:rPr>
        <w:t>9) 2021. gada 15. decembrī AS Eleving Vehicle Finance piešķīra AS mogo kredītu EUR 5 000 000 apmērā. Līguma termiņš - 2026. gada oktobris.</w:t>
      </w:r>
      <w:r w:rsidRPr="008B1FD5">
        <w:rPr>
          <w:rFonts w:ascii="Arial Narrow" w:eastAsia="Arial Narrow" w:hAnsi="Arial Narrow" w:cs="Arial Narrow"/>
          <w:sz w:val="16"/>
          <w:szCs w:val="16"/>
          <w:lang w:val="lv-LV"/>
        </w:rPr>
        <w:tab/>
      </w:r>
    </w:p>
    <w:p w:rsidR="001235F8" w:rsidRPr="008B1FD5" w:rsidP="00F82485" w14:paraId="105A09EA" w14:textId="77777777">
      <w:pPr>
        <w:spacing w:line="360" w:lineRule="auto"/>
        <w:jc w:val="both"/>
        <w:rPr>
          <w:rFonts w:ascii="Arial Narrow" w:eastAsia="Arial Narrow" w:hAnsi="Arial Narrow" w:cs="Arial Narrow"/>
          <w:sz w:val="16"/>
          <w:szCs w:val="16"/>
          <w:lang w:val="lv-LV"/>
        </w:rPr>
      </w:pPr>
      <w:r>
        <w:t xml:space="preserve"> </w:t>
      </w:r>
    </w:p>
    <w:p/>
    <w:tbl>
      <w:tblPr>
        <w:tblStyle w:val="CDMRange1"/>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(Saistības)/prasības par piesaistīto finansēju caur interneta platformām </w:t>
            </w:r>
            <w:r>
              <w:rPr>
                <w:rFonts w:ascii="Arial Narrow" w:eastAsia="Arial Narrow" w:hAnsi="Arial Narrow" w:cs="Arial Narrow"/>
                <w:b w:val="0"/>
                <w:i w:val="0"/>
                <w:strike w:val="0"/>
                <w:color w:val="000000"/>
                <w:sz w:val="16"/>
                <w:u w:val="none"/>
                <w:vertAlign w:val="baseline"/>
              </w:rPr>
              <w:t>(26., 34. piezīme)</w:t>
            </w:r>
          </w:p>
        </w:tc>
        <w:tc>
          <w:tcPr>
            <w:tcW w:w="1800" w:type="dxa"/>
            <w:gridSpan w:val="2"/>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(397,736)</w:t>
            </w:r>
          </w:p>
        </w:tc>
        <w:tc>
          <w:tcPr>
            <w:tcW w:w="1800" w:type="dxa"/>
            <w:gridSpan w:val="2"/>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242,474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(397,736)</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242,474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9600" w:type="dxa"/>
            <w:gridSpan w:val="5"/>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Kopējie uzkrātie izdevumi par savstarpējās kreditēšanas platformās piesaistīto finansējumu pārskata perioda beigu datumā bija:</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Uzkrātie izdevumi par piesaistīto finansēju caur interneta platformām </w:t>
            </w:r>
            <w:r>
              <w:rPr>
                <w:rFonts w:ascii="Arial Narrow" w:eastAsia="Arial Narrow" w:hAnsi="Arial Narrow" w:cs="Arial Narrow"/>
                <w:b w:val="0"/>
                <w:i w:val="0"/>
                <w:strike w:val="0"/>
                <w:color w:val="000000"/>
                <w:sz w:val="16"/>
                <w:u w:val="none"/>
                <w:vertAlign w:val="baseline"/>
              </w:rPr>
              <w:t>(35. piezīme)</w:t>
            </w:r>
          </w:p>
        </w:tc>
        <w:tc>
          <w:tcPr>
            <w:tcW w:w="1800" w:type="dxa"/>
            <w:gridSpan w:val="2"/>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16,779</w:t>
            </w:r>
          </w:p>
        </w:tc>
        <w:tc>
          <w:tcPr>
            <w:tcW w:w="1800" w:type="dxa"/>
            <w:gridSpan w:val="2"/>
            <w:tcBorders>
              <w:top w:val="single" w:sz="4" w:space="0" w:color="000000"/>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7,026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16,779</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7,026</w:t>
            </w:r>
          </w:p>
        </w:tc>
      </w:tr>
    </w:tbl>
    <w:tbl>
      <w:tblPr>
        <w:tblStyle w:val="CDMRange2"/>
        <w:tblW w:w="9600" w:type="dxa"/>
        <w:tblLayout w:type="fixed"/>
        <w:tblLook w:val="0600"/>
      </w:tblPr>
      <w:tblGrid>
        <w:gridCol w:w="4200"/>
        <w:gridCol w:w="900"/>
        <w:gridCol w:w="900"/>
        <w:gridCol w:w="900"/>
        <w:gridCol w:w="900"/>
        <w:gridCol w:w="900"/>
        <w:gridCol w:w="900"/>
      </w:tblGrid>
      <w:tr>
        <w:tblPrEx>
          <w:tblW w:w="9600" w:type="dxa"/>
          <w:tblLayout w:type="fixed"/>
          <w:tblLook w:val="0600"/>
        </w:tblPrEx>
        <w:trPr>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pageBreakBefore/>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 Aizņēmumi (turpinājums)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420"/>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Izmaiņas saistībās</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Ienākoša naudas plūsma</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Izejoša                   naudas plūsma</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Citi</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Savstarpējās kreditēšanas platformās piesaistīts finansējums*</w:t>
            </w: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13,557,965</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10,908,109</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(19,018,189)</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347,055</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5,794,941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Nomas saistības par lietošanas tiesību aktīviem</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1,138,704</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(123,353)</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(296,825)</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718,526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Īstermiņa aizņēmumi pret obligācijām</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24,129,000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16,033,708</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(10,282,000)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(21,708)</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29,859,000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Aizņēmumi no saistītām sabiedrībām:</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1,705,000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1,705,000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Aizņēmums no bankas</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1,689,618</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16,546,301</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(18,235,919)</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gridSpan w:val="2"/>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AIZŅĒMUMU PAMATSUMMA:</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40,515,287</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45,193,118</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(47,659,461)</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28,523</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38,077,467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9600" w:type="dxa"/>
            <w:gridSpan w:val="7"/>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both"/>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*Citas izmaiņas savstarpējās kreditēšanas platformās piesaistītajā finansējumā ir saistītas ar savstarpējo parādu ieskaitu, ko sabiedrības veic katru nedēļu bez naudas plūsmas.</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9600" w:type="dxa"/>
            <w:gridSpan w:val="7"/>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both"/>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630"/>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Izmaiņas saistībās</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Ienākoša naudas plūsma</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Izejoša                   naudas plūsma</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Aprēķināts finanšu gadam</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Papildu uzkrātie procenti par obligācijām</w:t>
            </w: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367,626</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(390,512)</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52,639</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29,753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Obligāciju iegādes izmaksas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(16,511)</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(892,978)</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225,745</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(683,744)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Obligāciju procentu izdevumi</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(34,461)</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34,461</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0"/>
        </w:trPr>
        <w:tc>
          <w:tcPr>
            <w:tcW w:w="51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Uzkrātie procenti par savstarpējās kreditēšanas platformās piesaistīto finansējumu</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(3,238,849)</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3,238,849</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Savstarpējās kreditēšanas platformās piesaistīts finansējums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60,521</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(857,235)</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824,083</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27,368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Uzkrātie procenti par aizdevumiem saistītām pusēm </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(33,116)</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6,575</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(26,541)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Procentu izdevumi par lietošanas tiesību aktīviem</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(23,988)</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23,988</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Procenti par aizņēmumu no bankas</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(99,140)</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98,932</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5100" w:type="dxa"/>
            <w:gridSpan w:val="2"/>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PROCENTUS NESOŠAS SAISTĪBAS:</w:t>
            </w:r>
          </w:p>
        </w:tc>
        <w:tc>
          <w:tcPr>
            <w:tcW w:w="900"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378,520</w:t>
            </w:r>
          </w:p>
        </w:tc>
        <w:tc>
          <w:tcPr>
            <w:tcW w:w="900"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900"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(5,537,163)</w:t>
            </w:r>
          </w:p>
        </w:tc>
        <w:tc>
          <w:tcPr>
            <w:tcW w:w="900"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4,505,271</w:t>
            </w:r>
          </w:p>
        </w:tc>
        <w:tc>
          <w:tcPr>
            <w:tcW w:w="900"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(653,164)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AIZŅĒMUMI:</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40,893,807</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45,193,118</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(53,196,624)</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4,533,794</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37,424,303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420"/>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Izmaiņas saistībās</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31.12.2019.</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Ienākoša naudas plūsma</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Izejoša                         naudas plūsma</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Citi</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Savstarpējās kreditēšanas platformās piesaistīts finansējums*</w:t>
            </w: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14,548,609</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6,978,033</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(10,047,231)</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2 078 554*</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13,557,965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Nomas saistības par lietošanas tiesību aktīviem</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1,383,165</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(121,190)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(123,271)</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1,138,704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Īstermiņa aizņēmumi pret obligācijām</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30,000,000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6,305,000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(12,176,000)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24,129,000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Aizņēmumi no saistītām sabiedrībām:</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290,306</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(290,306)</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both"/>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Aizņēmums no bankas</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2,106,840</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11,053,000</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(11,470,222)</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1,689,618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gridSpan w:val="2"/>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AIZŅĒMUMU PAMATSUMMA:</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48,328,920</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24,336,033</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(34,104,949)</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1,955,283</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40,515,287</w:t>
            </w:r>
          </w:p>
        </w:tc>
      </w:tr>
    </w:tbl>
    <w:p w:rsidR="000C10DB" w:rsidP="000D70C7" w14:paraId="0BC1E6BD" w14:textId="77777777">
      <w:pPr>
        <w:spacing w:line="360" w:lineRule="auto"/>
        <w:contextualSpacing/>
        <w:jc w:val="both"/>
        <w:rPr>
          <w:rFonts w:ascii="Arial Narrow" w:eastAsia="Arial Narrow" w:hAnsi="Arial Narrow" w:cs="Arial Narrow"/>
          <w:color w:val="FF0000"/>
          <w:sz w:val="16"/>
          <w:szCs w:val="16"/>
        </w:rPr>
      </w:pPr>
      <w:bookmarkStart w:id="1213" w:name="RG_MARKER_6658"/>
      <w:bookmarkEnd w:id="1213"/>
    </w:p>
    <w:p w:rsidR="00843D25" w:rsidRPr="008D26F2" w:rsidP="000D70C7" w14:paraId="72D610ED" w14:textId="62551B92">
      <w:pPr>
        <w:spacing w:line="360" w:lineRule="auto"/>
        <w:contextualSpacing/>
        <w:jc w:val="both"/>
        <w:rPr>
          <w:rFonts w:ascii="Arial Narrow" w:eastAsia="Arial Narrow" w:hAnsi="Arial Narrow" w:cs="Arial Narrow"/>
          <w:sz w:val="16"/>
          <w:szCs w:val="16"/>
        </w:rPr>
      </w:pPr>
      <w:r w:rsidRPr="008D26F2">
        <w:rPr>
          <w:rFonts w:ascii="Arial Narrow" w:eastAsia="Arial Narrow" w:hAnsi="Arial Narrow" w:cs="Arial Narrow"/>
          <w:sz w:val="16"/>
          <w:szCs w:val="16"/>
        </w:rPr>
        <w:t>*</w:t>
      </w:r>
      <w:r>
        <w:rPr>
          <w:rFonts w:ascii="Arial Narrow" w:eastAsia="Arial Narrow" w:hAnsi="Arial Narrow" w:cs="Arial Narrow"/>
          <w:sz w:val="16"/>
          <w:szCs w:val="16"/>
        </w:rPr>
        <w:t xml:space="preserve"> Citas </w:t>
      </w:r>
      <w:r w:rsidRPr="008D26F2">
        <w:rPr>
          <w:rFonts w:ascii="Arial Narrow" w:eastAsia="Arial Narrow" w:hAnsi="Arial Narrow" w:cs="Arial Narrow"/>
          <w:sz w:val="16"/>
          <w:szCs w:val="16"/>
        </w:rPr>
        <w:t>izmaiņas</w:t>
      </w:r>
      <w:r w:rsidRPr="008D26F2">
        <w:rPr>
          <w:rFonts w:ascii="Arial Narrow" w:eastAsia="Arial Narrow" w:hAnsi="Arial Narrow" w:cs="Arial Narrow"/>
          <w:sz w:val="16"/>
          <w:szCs w:val="16"/>
        </w:rPr>
        <w:t xml:space="preserve"> </w:t>
      </w:r>
      <w:r w:rsidRPr="008D26F2">
        <w:rPr>
          <w:rFonts w:ascii="Arial Narrow" w:eastAsia="Arial Narrow" w:hAnsi="Arial Narrow" w:cs="Arial Narrow"/>
          <w:sz w:val="16"/>
          <w:szCs w:val="16"/>
        </w:rPr>
        <w:t>savstarpējās</w:t>
      </w:r>
      <w:r w:rsidRPr="008D26F2">
        <w:rPr>
          <w:rFonts w:ascii="Arial Narrow" w:eastAsia="Arial Narrow" w:hAnsi="Arial Narrow" w:cs="Arial Narrow"/>
          <w:sz w:val="16"/>
          <w:szCs w:val="16"/>
        </w:rPr>
        <w:t xml:space="preserve"> </w:t>
      </w:r>
      <w:r w:rsidRPr="008D26F2">
        <w:rPr>
          <w:rFonts w:ascii="Arial Narrow" w:eastAsia="Arial Narrow" w:hAnsi="Arial Narrow" w:cs="Arial Narrow"/>
          <w:sz w:val="16"/>
          <w:szCs w:val="16"/>
        </w:rPr>
        <w:t>kreditēšanas</w:t>
      </w:r>
      <w:r w:rsidRPr="008D26F2">
        <w:rPr>
          <w:rFonts w:ascii="Arial Narrow" w:eastAsia="Arial Narrow" w:hAnsi="Arial Narrow" w:cs="Arial Narrow"/>
          <w:sz w:val="16"/>
          <w:szCs w:val="16"/>
        </w:rPr>
        <w:t xml:space="preserve"> </w:t>
      </w:r>
      <w:r w:rsidRPr="008D26F2">
        <w:rPr>
          <w:rFonts w:ascii="Arial Narrow" w:eastAsia="Arial Narrow" w:hAnsi="Arial Narrow" w:cs="Arial Narrow"/>
          <w:sz w:val="16"/>
          <w:szCs w:val="16"/>
        </w:rPr>
        <w:t>platformās</w:t>
      </w:r>
      <w:r w:rsidRPr="008D26F2">
        <w:rPr>
          <w:rFonts w:ascii="Arial Narrow" w:eastAsia="Arial Narrow" w:hAnsi="Arial Narrow" w:cs="Arial Narrow"/>
          <w:sz w:val="16"/>
          <w:szCs w:val="16"/>
        </w:rPr>
        <w:t xml:space="preserve"> piesaistītajā finansējumā ir saistītas ar savstarpējo parādu ieskaitu, ko sabiedrības veic katru nedēļu bez naudas plūsmas.</w:t>
      </w:r>
    </w:p>
    <w:p w:rsidR="00FC671A" w:rsidRPr="008D26F2" w:rsidP="000D70C7" w14:paraId="2B464B77" w14:textId="1F362B61">
      <w:pPr>
        <w:spacing w:line="360" w:lineRule="auto"/>
        <w:contextualSpacing/>
        <w:jc w:val="both"/>
        <w:rPr>
          <w:rFonts w:ascii="Arial Narrow" w:eastAsia="Arial Narrow" w:hAnsi="Arial Narrow" w:cs="Arial Narrow"/>
          <w:sz w:val="16"/>
          <w:szCs w:val="16"/>
        </w:rPr>
      </w:pPr>
      <w:r>
        <w:t xml:space="preserve"> </w:t>
      </w:r>
    </w:p>
    <w:tbl>
      <w:tblPr>
        <w:tblStyle w:val="CDMRange1"/>
        <w:tblW w:w="9600" w:type="dxa"/>
        <w:tblLayout w:type="fixed"/>
        <w:tblLook w:val="0600"/>
      </w:tblPr>
      <w:tblGrid>
        <w:gridCol w:w="4200"/>
        <w:gridCol w:w="900"/>
        <w:gridCol w:w="900"/>
        <w:gridCol w:w="900"/>
        <w:gridCol w:w="900"/>
        <w:gridCol w:w="900"/>
        <w:gridCol w:w="900"/>
      </w:tblGrid>
      <w:tr>
        <w:tblPrEx>
          <w:tblW w:w="9600" w:type="dxa"/>
          <w:tblLayout w:type="fixed"/>
          <w:tblLook w:val="0600"/>
        </w:tblPrEx>
        <w:trPr>
          <w:trHeight w:val="630"/>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Izmaiņas saistībās</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31.12.2019.</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Ienākoša naudas plūsma</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Izejoša               naudas plūsma</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Aprēķināts finanšu gadam</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Papildu uzkrātie procenti par obligācijām</w:t>
            </w: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cash flow</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cash flow</w:t>
            </w: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Obligāciju iegādes izmaksas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299,203</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(9,967)</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78,390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367,626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Obligāciju procentu izdevumi</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(239,960)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223,449</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(16,511)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450"/>
        </w:trPr>
        <w:tc>
          <w:tcPr>
            <w:tcW w:w="42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Procentu izdevumi par savstarpējās kreditēšanas platformās piesaistīto finansējumu</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(2,838,225)</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2,838,225</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Savstarpējās kreditēšanas platformās piesaistīts finansējums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71,884</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(1,174,640)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1,163,277</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60,521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Procentu izdevumi par aizņēmumiem no saistītajām pusēm</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Procentu izdevumi par lietošanas tiesību aktīviem</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7,403</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(14,488)</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7,085</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Uzkrātie procenti par aizņēmumu no bankas</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(34,520)</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34,520</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gridSpan w:val="2"/>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PROCENTUS NESOŠAS SAISTĪBAS:</w:t>
            </w:r>
          </w:p>
        </w:tc>
        <w:tc>
          <w:tcPr>
            <w:tcW w:w="900"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60,748</w:t>
            </w:r>
          </w:p>
        </w:tc>
        <w:tc>
          <w:tcPr>
            <w:tcW w:w="900"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900"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(4,081,115)</w:t>
            </w:r>
          </w:p>
        </w:tc>
        <w:tc>
          <w:tcPr>
            <w:tcW w:w="900"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4,398,887</w:t>
            </w:r>
          </w:p>
        </w:tc>
        <w:tc>
          <w:tcPr>
            <w:tcW w:w="900" w:type="dxa"/>
            <w:tcBorders>
              <w:top w:val="single" w:sz="4" w:space="0" w:color="000000"/>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378,520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AIZŅĒMUMI:</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2,167,588</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11,053,000</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(15,551,337)</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4,398,887</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2,068,138</w:t>
            </w:r>
          </w:p>
        </w:tc>
      </w:tr>
    </w:tbl>
    <w:p/>
    <w:tbl>
      <w:tblPr>
        <w:tblStyle w:val="CDMRange2"/>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0"/>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32. No pircējiem saņemtie avansi</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Saņemti neidentificēti maksājumi*</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24,079</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15,760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Bijušo klientu pārmaksas</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34,614</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34,614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Klientu pārmaksas par nomas pakalpojumiem</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75,934</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119,731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 nomas klientiem saņemti depozīti</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29,660</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7,740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164,287</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177,845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bl>
    <w:p w:rsidR="000E04AA" w:rsidRPr="00E06C66" w:rsidP="00E06C66" w14:paraId="29BFC59A" w14:textId="32C4D9AE">
      <w:pPr>
        <w:spacing w:line="360" w:lineRule="auto"/>
        <w:jc w:val="both"/>
        <w:rPr>
          <w:rFonts w:ascii="Arial Narrow" w:eastAsia="Arial Narrow" w:hAnsi="Arial Narrow" w:cs="Arial Narrow"/>
          <w:sz w:val="16"/>
          <w:szCs w:val="16"/>
        </w:rPr>
      </w:pPr>
      <w:bookmarkStart w:id="1214" w:name="RG_MARKER_6659"/>
      <w:bookmarkStart w:id="1215" w:name="RG_MARKER_6451"/>
      <w:r w:rsidRPr="00E06C66">
        <w:rPr>
          <w:rFonts w:ascii="Arial Narrow" w:eastAsia="Arial Narrow" w:hAnsi="Arial Narrow" w:cs="Arial Narrow"/>
          <w:sz w:val="16"/>
          <w:szCs w:val="16"/>
        </w:rPr>
        <w:t>*Neidentificētie maksājumi ir tādi maksājumi, kas ir saņemti no bijušajiem klientiem pēc līgumu termiņu beigām, un saņemti maksājumi, kurus nav iespējams identificēt un attiecināt uz konkrētu finanšu nomu vai patēriņa kredītu.</w:t>
      </w:r>
      <w:bookmarkEnd w:id="1215"/>
      <w:bookmarkEnd w:id="1214"/>
    </w:p>
    <w:p w:rsidR="00FC671A" w:rsidRPr="0083085A" w:rsidP="00E06C66" w14:textId="251B2780">
      <w:pPr>
        <w:spacing w:line="360" w:lineRule="auto"/>
        <w:jc w:val="both"/>
        <w:rPr>
          <w:rFonts w:ascii="Arial Narrow" w:eastAsia="Arial Narrow" w:hAnsi="Arial Narrow" w:cs="Arial Narrow"/>
          <w:sz w:val="16"/>
          <w:szCs w:val="16"/>
        </w:rPr>
      </w:pPr>
      <w:r w:rsidRPr="0083085A">
        <w:rPr>
          <w:rFonts w:ascii="Arial Narrow" w:eastAsia="Arial Narrow" w:hAnsi="Arial Narrow" w:cs="Arial Narrow"/>
          <w:sz w:val="16"/>
          <w:szCs w:val="16"/>
        </w:rPr>
        <w:t>2021</w:t>
      </w:r>
      <w:r w:rsidRPr="0083085A">
        <w:rPr>
          <w:rFonts w:ascii="Arial Narrow" w:eastAsia="Arial Narrow" w:hAnsi="Arial Narrow" w:cs="Arial Narrow"/>
          <w:sz w:val="16"/>
          <w:szCs w:val="16"/>
        </w:rPr>
        <w:t xml:space="preserve">. </w:t>
      </w:r>
      <w:r w:rsidRPr="0083085A">
        <w:rPr>
          <w:rFonts w:ascii="Arial Narrow" w:eastAsia="Arial Narrow" w:hAnsi="Arial Narrow" w:cs="Arial Narrow"/>
          <w:sz w:val="16"/>
          <w:szCs w:val="16"/>
        </w:rPr>
        <w:t>un 2020</w:t>
      </w:r>
      <w:r w:rsidRPr="0083085A">
        <w:rPr>
          <w:rFonts w:ascii="Arial Narrow" w:eastAsia="Arial Narrow" w:hAnsi="Arial Narrow" w:cs="Arial Narrow"/>
          <w:sz w:val="16"/>
          <w:szCs w:val="16"/>
        </w:rPr>
        <w:t xml:space="preserve">. gadā veiktie avansa maksājumi ir uzrādīti no finanšu nomas izrietošas prasību un kredītu un izsniegto avansu sastāvā. Skatīt </w:t>
      </w:r>
      <w:r w:rsidRPr="0083085A">
        <w:rPr>
          <w:rFonts w:ascii="Arial Narrow" w:eastAsia="Arial Narrow" w:hAnsi="Arial Narrow" w:cs="Arial Narrow"/>
          <w:sz w:val="16"/>
          <w:szCs w:val="16"/>
        </w:rPr>
        <w:t>19</w:t>
      </w:r>
      <w:r w:rsidRPr="0083085A">
        <w:rPr>
          <w:rFonts w:ascii="Arial Narrow" w:eastAsia="Arial Narrow" w:hAnsi="Arial Narrow" w:cs="Arial Narrow"/>
          <w:sz w:val="16"/>
          <w:szCs w:val="16"/>
        </w:rPr>
        <w:t xml:space="preserve">. un </w:t>
      </w:r>
      <w:r w:rsidRPr="0083085A">
        <w:rPr>
          <w:rFonts w:ascii="Arial Narrow" w:eastAsia="Arial Narrow" w:hAnsi="Arial Narrow" w:cs="Arial Narrow"/>
          <w:sz w:val="16"/>
          <w:szCs w:val="16"/>
        </w:rPr>
        <w:t>20</w:t>
      </w:r>
      <w:r w:rsidRPr="0083085A">
        <w:rPr>
          <w:rFonts w:ascii="Arial Narrow" w:eastAsia="Arial Narrow" w:hAnsi="Arial Narrow" w:cs="Arial Narrow"/>
          <w:sz w:val="16"/>
          <w:szCs w:val="16"/>
        </w:rPr>
        <w:t>. piezīmi.</w:t>
      </w:r>
    </w:p>
    <w:p/>
    <w:tbl>
      <w:tblPr>
        <w:tblStyle w:val="CDMRange1"/>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33. Nodokļi un valsts sociālās apdrošināšanas obligātās iemaksas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Valsts obligātās sociālās apdrošināšanas iemaksas</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34,321</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73,543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Iedzīvotāju ienākuma nodoklis</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18,005</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50,911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PVN</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48,832</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154,502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Pārējie nodokļi</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4,495</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105,653</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278,956</w:t>
            </w:r>
          </w:p>
        </w:tc>
      </w:tr>
    </w:tbl>
    <w:p/>
    <w:tbl>
      <w:tblPr>
        <w:tblStyle w:val="CDMRange2"/>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34. Pārējie kreditori</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parāds par finansējuma piesaisti, izmantojot P2P platformu*</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397,736</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Saistības par maksājumiem, kas saņemti no saistīto pušu klientiem</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305,856</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315,566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Saistības pret darbiniekiem par darba algu</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63,205</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68,052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Pārējie kreditori</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4,797</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9,159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771,594</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392,777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bl>
    <w:p w:rsidR="00FC671A" w:rsidRPr="00874696" w:rsidP="00E03E98" w14:textId="66C0766F">
      <w:pPr>
        <w:jc w:val="both"/>
        <w:rPr>
          <w:rFonts w:ascii="Arial Narrow" w:eastAsia="Arial Narrow" w:hAnsi="Arial Narrow" w:cs="Arial Narrow"/>
          <w:sz w:val="16"/>
          <w:szCs w:val="16"/>
        </w:rPr>
      </w:pPr>
      <w:bookmarkStart w:id="1216" w:name="RG_MARKER_6660"/>
      <w:bookmarkStart w:id="1217" w:name="RG_MARKER_6453"/>
      <w:r w:rsidRPr="00874696">
        <w:rPr>
          <w:rFonts w:ascii="Arial Narrow" w:eastAsia="Arial Narrow" w:hAnsi="Arial Narrow" w:cs="Arial Narrow"/>
          <w:sz w:val="16"/>
          <w:szCs w:val="16"/>
        </w:rPr>
        <w:t>* 31.12.2021</w:t>
      </w:r>
      <w:bookmarkEnd w:id="1217"/>
      <w:bookmarkEnd w:id="1216"/>
      <w:r w:rsidRPr="00874696">
        <w:rPr>
          <w:rFonts w:ascii="Arial Narrow" w:eastAsia="Arial Narrow" w:hAnsi="Arial Narrow" w:cs="Arial Narrow"/>
          <w:sz w:val="16"/>
          <w:szCs w:val="16"/>
        </w:rPr>
        <w:t xml:space="preserve">, </w:t>
      </w:r>
      <w:r w:rsidRPr="00874696">
        <w:rPr>
          <w:rFonts w:ascii="Arial Narrow" w:eastAsia="Arial Narrow" w:hAnsi="Arial Narrow" w:cs="Arial Narrow"/>
          <w:sz w:val="16"/>
          <w:szCs w:val="16"/>
        </w:rPr>
        <w:t>Koncernam</w:t>
      </w:r>
      <w:r w:rsidRPr="00874696">
        <w:rPr>
          <w:rFonts w:ascii="Arial Narrow" w:eastAsia="Arial Narrow" w:hAnsi="Arial Narrow" w:cs="Arial Narrow"/>
          <w:sz w:val="16"/>
          <w:szCs w:val="16"/>
        </w:rPr>
        <w:t xml:space="preserve"> </w:t>
      </w:r>
      <w:r w:rsidRPr="00874696">
        <w:rPr>
          <w:rFonts w:ascii="Arial Narrow" w:eastAsia="Arial Narrow" w:hAnsi="Arial Narrow" w:cs="Arial Narrow"/>
          <w:sz w:val="16"/>
          <w:szCs w:val="16"/>
        </w:rPr>
        <w:t>ir</w:t>
      </w:r>
      <w:r w:rsidRPr="00874696">
        <w:rPr>
          <w:rFonts w:ascii="Arial Narrow" w:eastAsia="Arial Narrow" w:hAnsi="Arial Narrow" w:cs="Arial Narrow"/>
          <w:sz w:val="16"/>
          <w:szCs w:val="16"/>
        </w:rPr>
        <w:t xml:space="preserve"> </w:t>
      </w:r>
      <w:r w:rsidRPr="00874696">
        <w:rPr>
          <w:rFonts w:ascii="Arial Narrow" w:eastAsia="Arial Narrow" w:hAnsi="Arial Narrow" w:cs="Arial Narrow"/>
          <w:sz w:val="16"/>
          <w:szCs w:val="16"/>
        </w:rPr>
        <w:t>saistības</w:t>
      </w:r>
      <w:r w:rsidRPr="00874696">
        <w:rPr>
          <w:rFonts w:ascii="Arial Narrow" w:eastAsia="Arial Narrow" w:hAnsi="Arial Narrow" w:cs="Arial Narrow"/>
          <w:sz w:val="16"/>
          <w:szCs w:val="16"/>
        </w:rPr>
        <w:t xml:space="preserve"> </w:t>
      </w:r>
      <w:r w:rsidRPr="00874696">
        <w:rPr>
          <w:rFonts w:ascii="Arial Narrow" w:eastAsia="Arial Narrow" w:hAnsi="Arial Narrow" w:cs="Arial Narrow"/>
          <w:sz w:val="16"/>
          <w:szCs w:val="16"/>
        </w:rPr>
        <w:t>pret</w:t>
      </w:r>
      <w:r w:rsidRPr="00874696">
        <w:rPr>
          <w:rFonts w:ascii="Arial Narrow" w:eastAsia="Arial Narrow" w:hAnsi="Arial Narrow" w:cs="Arial Narrow"/>
          <w:sz w:val="16"/>
          <w:szCs w:val="16"/>
        </w:rPr>
        <w:t xml:space="preserve"> P2P </w:t>
      </w:r>
      <w:r w:rsidRPr="00874696">
        <w:rPr>
          <w:rFonts w:ascii="Arial Narrow" w:eastAsia="Arial Narrow" w:hAnsi="Arial Narrow" w:cs="Arial Narrow"/>
          <w:sz w:val="16"/>
          <w:szCs w:val="16"/>
        </w:rPr>
        <w:t>platformu</w:t>
      </w:r>
      <w:r w:rsidRPr="00874696">
        <w:rPr>
          <w:rFonts w:ascii="Arial Narrow" w:eastAsia="Arial Narrow" w:hAnsi="Arial Narrow" w:cs="Arial Narrow"/>
          <w:sz w:val="16"/>
          <w:szCs w:val="16"/>
        </w:rPr>
        <w:t>, bet 31.12.2020</w:t>
      </w:r>
      <w:r w:rsidRPr="00874696">
        <w:rPr>
          <w:rFonts w:ascii="Arial Narrow" w:eastAsia="Arial Narrow" w:hAnsi="Arial Narrow" w:cs="Arial Narrow"/>
          <w:sz w:val="16"/>
          <w:szCs w:val="16"/>
        </w:rPr>
        <w:t xml:space="preserve">. tam </w:t>
      </w:r>
      <w:r w:rsidRPr="00874696">
        <w:rPr>
          <w:rFonts w:ascii="Arial Narrow" w:eastAsia="Arial Narrow" w:hAnsi="Arial Narrow" w:cs="Arial Narrow"/>
          <w:sz w:val="16"/>
          <w:szCs w:val="16"/>
        </w:rPr>
        <w:t>bija</w:t>
      </w:r>
      <w:r w:rsidRPr="00874696">
        <w:rPr>
          <w:rFonts w:ascii="Arial Narrow" w:eastAsia="Arial Narrow" w:hAnsi="Arial Narrow" w:cs="Arial Narrow"/>
          <w:sz w:val="16"/>
          <w:szCs w:val="16"/>
        </w:rPr>
        <w:t xml:space="preserve"> </w:t>
      </w:r>
      <w:r w:rsidRPr="00874696">
        <w:rPr>
          <w:rFonts w:ascii="Arial Narrow" w:eastAsia="Arial Narrow" w:hAnsi="Arial Narrow" w:cs="Arial Narrow"/>
          <w:sz w:val="16"/>
          <w:szCs w:val="16"/>
        </w:rPr>
        <w:t>prasības</w:t>
      </w:r>
      <w:r w:rsidRPr="00874696">
        <w:rPr>
          <w:rFonts w:ascii="Arial Narrow" w:eastAsia="Arial Narrow" w:hAnsi="Arial Narrow" w:cs="Arial Narrow"/>
          <w:sz w:val="16"/>
          <w:szCs w:val="16"/>
        </w:rPr>
        <w:t xml:space="preserve"> </w:t>
      </w:r>
      <w:r w:rsidRPr="00874696">
        <w:rPr>
          <w:rFonts w:ascii="Arial Narrow" w:eastAsia="Arial Narrow" w:hAnsi="Arial Narrow" w:cs="Arial Narrow"/>
          <w:sz w:val="16"/>
          <w:szCs w:val="16"/>
        </w:rPr>
        <w:t>pret</w:t>
      </w:r>
      <w:r w:rsidRPr="00874696">
        <w:rPr>
          <w:rFonts w:ascii="Arial Narrow" w:eastAsia="Arial Narrow" w:hAnsi="Arial Narrow" w:cs="Arial Narrow"/>
          <w:sz w:val="16"/>
          <w:szCs w:val="16"/>
        </w:rPr>
        <w:t xml:space="preserve"> P2P </w:t>
      </w:r>
      <w:r w:rsidRPr="00874696">
        <w:rPr>
          <w:rFonts w:ascii="Arial Narrow" w:eastAsia="Arial Narrow" w:hAnsi="Arial Narrow" w:cs="Arial Narrow"/>
          <w:sz w:val="16"/>
          <w:szCs w:val="16"/>
        </w:rPr>
        <w:t>platformu</w:t>
      </w:r>
      <w:r w:rsidRPr="00874696">
        <w:rPr>
          <w:rFonts w:ascii="Arial Narrow" w:eastAsia="Arial Narrow" w:hAnsi="Arial Narrow" w:cs="Arial Narrow"/>
          <w:sz w:val="16"/>
          <w:szCs w:val="16"/>
        </w:rPr>
        <w:t xml:space="preserve">. </w:t>
      </w:r>
      <w:r w:rsidRPr="00874696">
        <w:rPr>
          <w:rFonts w:ascii="Arial Narrow" w:eastAsia="Arial Narrow" w:hAnsi="Arial Narrow" w:cs="Arial Narrow"/>
          <w:sz w:val="16"/>
          <w:szCs w:val="16"/>
        </w:rPr>
        <w:t>Papildu</w:t>
      </w:r>
      <w:r w:rsidRPr="00874696">
        <w:rPr>
          <w:rFonts w:ascii="Arial Narrow" w:eastAsia="Arial Narrow" w:hAnsi="Arial Narrow" w:cs="Arial Narrow"/>
          <w:sz w:val="16"/>
          <w:szCs w:val="16"/>
        </w:rPr>
        <w:t xml:space="preserve"> </w:t>
      </w:r>
      <w:r w:rsidRPr="00874696">
        <w:rPr>
          <w:rFonts w:ascii="Arial Narrow" w:eastAsia="Arial Narrow" w:hAnsi="Arial Narrow" w:cs="Arial Narrow"/>
          <w:sz w:val="16"/>
          <w:szCs w:val="16"/>
        </w:rPr>
        <w:t>informācija</w:t>
      </w:r>
      <w:r w:rsidRPr="00874696">
        <w:rPr>
          <w:rFonts w:ascii="Arial Narrow" w:eastAsia="Arial Narrow" w:hAnsi="Arial Narrow" w:cs="Arial Narrow"/>
          <w:sz w:val="16"/>
          <w:szCs w:val="16"/>
        </w:rPr>
        <w:t xml:space="preserve"> </w:t>
      </w:r>
      <w:r w:rsidRPr="00874696">
        <w:rPr>
          <w:rFonts w:ascii="Arial Narrow" w:eastAsia="Arial Narrow" w:hAnsi="Arial Narrow" w:cs="Arial Narrow"/>
          <w:sz w:val="16"/>
          <w:szCs w:val="16"/>
        </w:rPr>
        <w:t>ir</w:t>
      </w:r>
      <w:r w:rsidRPr="00874696">
        <w:rPr>
          <w:rFonts w:ascii="Arial Narrow" w:eastAsia="Arial Narrow" w:hAnsi="Arial Narrow" w:cs="Arial Narrow"/>
          <w:sz w:val="16"/>
          <w:szCs w:val="16"/>
        </w:rPr>
        <w:t xml:space="preserve"> </w:t>
      </w:r>
      <w:r w:rsidRPr="00874696">
        <w:rPr>
          <w:rFonts w:ascii="Arial Narrow" w:eastAsia="Arial Narrow" w:hAnsi="Arial Narrow" w:cs="Arial Narrow"/>
          <w:sz w:val="16"/>
          <w:szCs w:val="16"/>
        </w:rPr>
        <w:t>sniegta</w:t>
      </w:r>
      <w:r w:rsidRPr="00874696">
        <w:rPr>
          <w:rFonts w:ascii="Arial Narrow" w:eastAsia="Arial Narrow" w:hAnsi="Arial Narrow" w:cs="Arial Narrow"/>
          <w:sz w:val="16"/>
          <w:szCs w:val="16"/>
        </w:rPr>
        <w:t xml:space="preserve"> </w:t>
      </w:r>
      <w:r w:rsidRPr="00874696">
        <w:rPr>
          <w:rFonts w:ascii="Arial Narrow" w:eastAsia="Arial Narrow" w:hAnsi="Arial Narrow" w:cs="Arial Narrow"/>
          <w:sz w:val="16"/>
          <w:szCs w:val="16"/>
        </w:rPr>
        <w:t>31</w:t>
      </w:r>
      <w:r w:rsidRPr="00874696">
        <w:rPr>
          <w:rFonts w:ascii="Arial Narrow" w:eastAsia="Arial Narrow" w:hAnsi="Arial Narrow" w:cs="Arial Narrow"/>
          <w:sz w:val="16"/>
          <w:szCs w:val="16"/>
        </w:rPr>
        <w:t xml:space="preserve">. </w:t>
      </w:r>
      <w:r w:rsidRPr="00874696">
        <w:rPr>
          <w:rFonts w:ascii="Arial Narrow" w:eastAsia="Arial Narrow" w:hAnsi="Arial Narrow" w:cs="Arial Narrow"/>
          <w:sz w:val="16"/>
          <w:szCs w:val="16"/>
        </w:rPr>
        <w:t>piezīmē</w:t>
      </w:r>
      <w:r w:rsidRPr="00874696">
        <w:rPr>
          <w:rFonts w:ascii="Arial Narrow" w:eastAsia="Arial Narrow" w:hAnsi="Arial Narrow" w:cs="Arial Narrow"/>
          <w:sz w:val="16"/>
          <w:szCs w:val="16"/>
        </w:rPr>
        <w:t>.</w:t>
      </w:r>
    </w:p>
    <w:tbl>
      <w:tblPr>
        <w:tblStyle w:val="CDMRange1"/>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35. Uzkrātās saistības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1800" w:type="dxa"/>
            <w:gridSpan w:val="2"/>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1800" w:type="dxa"/>
            <w:gridSpan w:val="2"/>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Uzkrātās saistības par saņemtiem pakalpojumiem</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103,702</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118,044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Uzkrātās saistības par saistītu pušu sniegtiem vadības pakalpojumiem</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64,386</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132,437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Uzkrātie neizmantotie atvaļinājumi</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79,544</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92,809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darbinieku prēmijām</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61,079</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69,073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Uzkrātie izdevumi piesaistīto finansēju caur interneta platformām (31. piezīme)</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16,779</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7,026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325,490</w:t>
            </w:r>
          </w:p>
        </w:tc>
        <w:tc>
          <w:tcPr>
            <w:tcW w:w="1800" w:type="dxa"/>
            <w:gridSpan w:val="2"/>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419,389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bl>
    <w:p w:rsidR="004D0FAC" w:rsidRPr="00EB6211" w:rsidP="00EB6211" w14:paraId="5936E93D" w14:textId="1BD7875F">
      <w:pPr>
        <w:pageBreakBefore/>
        <w:jc w:val="both"/>
        <w:rPr>
          <w:rFonts w:ascii="Arial Narrow" w:eastAsia="Arial Narrow" w:hAnsi="Arial Narrow" w:cs="Arial Narrow"/>
          <w:b/>
          <w:bCs/>
          <w:sz w:val="16"/>
          <w:szCs w:val="16"/>
        </w:rPr>
      </w:pPr>
      <w:bookmarkStart w:id="1218" w:name="RG_MARKER_6661"/>
      <w:bookmarkStart w:id="1219" w:name="RG_MARKER_6455"/>
      <w:r w:rsidRPr="00BC4E9E">
        <w:rPr>
          <w:rFonts w:ascii="Arial Narrow" w:eastAsia="Arial Narrow" w:hAnsi="Arial Narrow" w:cs="Arial Narrow"/>
          <w:b/>
          <w:bCs/>
          <w:sz w:val="16"/>
          <w:szCs w:val="16"/>
        </w:rPr>
        <w:t>36</w:t>
      </w:r>
      <w:bookmarkEnd w:id="1219"/>
      <w:bookmarkEnd w:id="1218"/>
      <w:r w:rsidRPr="00EB6211">
        <w:rPr>
          <w:rFonts w:ascii="Arial Narrow" w:eastAsia="Arial Narrow" w:hAnsi="Arial Narrow" w:cs="Arial Narrow"/>
          <w:b/>
          <w:bCs/>
          <w:sz w:val="16"/>
          <w:szCs w:val="16"/>
        </w:rPr>
        <w:t>. Darījumi ar saistītām sabiedrībām</w:t>
      </w:r>
    </w:p>
    <w:p w:rsidR="004D0FAC" w:rsidRPr="00EB6211" w:rsidP="00EB6211" w14:paraId="2A9EA9E5" w14:textId="20ACE766">
      <w:pPr>
        <w:jc w:val="both"/>
        <w:rPr>
          <w:rFonts w:ascii="Arial Narrow" w:eastAsia="Arial Narrow" w:hAnsi="Arial Narrow" w:cs="Arial Narrow"/>
          <w:sz w:val="16"/>
          <w:szCs w:val="16"/>
        </w:rPr>
      </w:pPr>
      <w:r w:rsidRPr="00EB6211">
        <w:rPr>
          <w:rFonts w:ascii="Arial Narrow" w:eastAsia="Arial Narrow" w:hAnsi="Arial Narrow" w:cs="Arial Narrow"/>
          <w:sz w:val="16"/>
          <w:szCs w:val="16"/>
        </w:rPr>
        <w:t>Kreditoru un debitoru parādi nav nodrošināti ar jebkāda veida ķīlu.</w:t>
      </w:r>
    </w:p>
    <w:p w:rsidR="00CB401E" w:rsidRPr="00EB6211" w:rsidP="00EB6211" w14:textId="7FAF9229">
      <w:pPr>
        <w:jc w:val="both"/>
        <w:rPr>
          <w:rFonts w:ascii="Arial Narrow" w:eastAsia="Arial Narrow" w:hAnsi="Arial Narrow" w:cs="Arial Narrow"/>
          <w:sz w:val="16"/>
          <w:szCs w:val="16"/>
        </w:rPr>
      </w:pPr>
      <w:r w:rsidRPr="00EB6211">
        <w:rPr>
          <w:rFonts w:ascii="Arial Narrow" w:eastAsia="Arial Narrow" w:hAnsi="Arial Narrow" w:cs="Arial Narrow"/>
          <w:sz w:val="16"/>
          <w:szCs w:val="16"/>
        </w:rPr>
        <w:t>202</w:t>
      </w:r>
      <w:r>
        <w:rPr>
          <w:rFonts w:ascii="Arial Narrow" w:eastAsia="Arial Narrow" w:hAnsi="Arial Narrow" w:cs="Arial Narrow"/>
          <w:sz w:val="16"/>
          <w:szCs w:val="16"/>
        </w:rPr>
        <w:t>1</w:t>
      </w:r>
      <w:r w:rsidRPr="00EB6211">
        <w:rPr>
          <w:rFonts w:ascii="Arial Narrow" w:eastAsia="Arial Narrow" w:hAnsi="Arial Narrow" w:cs="Arial Narrow"/>
          <w:sz w:val="16"/>
          <w:szCs w:val="16"/>
        </w:rPr>
        <w:t>. un 20</w:t>
      </w:r>
      <w:r>
        <w:rPr>
          <w:rFonts w:ascii="Arial Narrow" w:eastAsia="Arial Narrow" w:hAnsi="Arial Narrow" w:cs="Arial Narrow"/>
          <w:sz w:val="16"/>
          <w:szCs w:val="16"/>
        </w:rPr>
        <w:t>20</w:t>
      </w:r>
      <w:r w:rsidRPr="00EB6211">
        <w:rPr>
          <w:rFonts w:ascii="Arial Narrow" w:eastAsia="Arial Narrow" w:hAnsi="Arial Narrow" w:cs="Arial Narrow"/>
          <w:sz w:val="16"/>
          <w:szCs w:val="16"/>
        </w:rPr>
        <w:t>. gadā veiktie darījumi ar saistītām pusēm ir šādi:</w:t>
      </w:r>
    </w:p>
    <w:p/>
    <w:tbl>
      <w:tblPr>
        <w:tblStyle w:val="CDMRange2"/>
        <w:tblW w:w="9600" w:type="dxa"/>
        <w:tblLayout w:type="fixed"/>
        <w:tblLook w:val="0600"/>
      </w:tblPr>
      <w:tblGrid>
        <w:gridCol w:w="6000"/>
        <w:gridCol w:w="900"/>
        <w:gridCol w:w="900"/>
        <w:gridCol w:w="900"/>
        <w:gridCol w:w="900"/>
      </w:tblGrid>
      <w:tr>
        <w:tblPrEx>
          <w:tblW w:w="9600" w:type="dxa"/>
          <w:tblLayout w:type="fixed"/>
          <w:tblLook w:val="0600"/>
        </w:tblPrEx>
        <w:trPr>
          <w:trHeight w:hRule="exac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2021</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single"/>
                <w:vertAlign w:val="baseline"/>
              </w:rPr>
            </w:pPr>
            <w:r>
              <w:rPr>
                <w:rFonts w:ascii="Arial Narrow" w:eastAsia="Arial Narrow" w:hAnsi="Arial Narrow" w:cs="Arial Narrow"/>
                <w:b w:val="0"/>
                <w:i w:val="0"/>
                <w:strike w:val="0"/>
                <w:color w:val="000000"/>
                <w:sz w:val="16"/>
                <w:u w:val="single"/>
                <w:vertAlign w:val="baseline"/>
              </w:rPr>
              <w:t>Sniegti pakalpojumi</w:t>
            </w: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 Ieņēmumi no izdevumu iekasēšanas (14. piezīme)*</w:t>
            </w:r>
          </w:p>
        </w:tc>
        <w:tc>
          <w:tcPr>
            <w:tcW w:w="900" w:type="dxa"/>
            <w:tcBorders>
              <w:top w:val="nil"/>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556,495</w:t>
            </w:r>
          </w:p>
        </w:tc>
        <w:tc>
          <w:tcPr>
            <w:tcW w:w="900" w:type="dxa"/>
            <w:tcBorders>
              <w:top w:val="nil"/>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411,504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 xml:space="preserve">       - Eleving Group S.A.</w:t>
            </w:r>
          </w:p>
        </w:tc>
        <w:tc>
          <w:tcPr>
            <w:tcW w:w="900" w:type="dxa"/>
            <w:tcBorders>
              <w:top w:val="nil"/>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2,940</w:t>
            </w:r>
          </w:p>
        </w:tc>
        <w:tc>
          <w:tcPr>
            <w:tcW w:w="900" w:type="dxa"/>
            <w:tcBorders>
              <w:top w:val="nil"/>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Mātes kompānija**</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2,940</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19,957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0"/>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HUB**</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6,712</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126,028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Citas saistītās puses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546,843</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265,519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Sniegti citi pakalpojumi</w:t>
            </w:r>
          </w:p>
        </w:tc>
        <w:tc>
          <w:tcPr>
            <w:tcW w:w="900" w:type="dxa"/>
            <w:tcBorders>
              <w:top w:val="nil"/>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670,320</w:t>
            </w:r>
          </w:p>
        </w:tc>
        <w:tc>
          <w:tcPr>
            <w:tcW w:w="900" w:type="dxa"/>
            <w:tcBorders>
              <w:top w:val="nil"/>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451,470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Mātes kompānija**</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3,502</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Citām saistītām pusēm sniegti klientu piesaistes un citi pakalpojumi</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657,834</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451,301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single"/>
                <w:vertAlign w:val="baseline"/>
              </w:rPr>
            </w:pPr>
            <w:r>
              <w:rPr>
                <w:rFonts w:ascii="Arial Narrow" w:eastAsia="Arial Narrow" w:hAnsi="Arial Narrow" w:cs="Arial Narrow"/>
                <w:b w:val="0"/>
                <w:i w:val="0"/>
                <w:strike w:val="0"/>
                <w:color w:val="000000"/>
                <w:sz w:val="16"/>
                <w:u w:val="single"/>
                <w:vertAlign w:val="baseline"/>
              </w:rPr>
              <w:t>Saņemti pakalpojumi</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Vadības pakalpojumi (13. piezīme)****</w:t>
            </w:r>
          </w:p>
        </w:tc>
        <w:tc>
          <w:tcPr>
            <w:tcW w:w="900" w:type="dxa"/>
            <w:tcBorders>
              <w:top w:val="nil"/>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1,095,113</w:t>
            </w:r>
          </w:p>
        </w:tc>
        <w:tc>
          <w:tcPr>
            <w:tcW w:w="900" w:type="dxa"/>
            <w:tcBorders>
              <w:top w:val="nil"/>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1,016,444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 xml:space="preserve">       - Mātes kompānija**</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1,095,113</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293,239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HUB**</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723,205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Saņemti citi pakalpojumi***</w:t>
            </w:r>
          </w:p>
        </w:tc>
        <w:tc>
          <w:tcPr>
            <w:tcW w:w="900" w:type="dxa"/>
            <w:tcBorders>
              <w:top w:val="nil"/>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309,163</w:t>
            </w:r>
          </w:p>
        </w:tc>
        <w:tc>
          <w:tcPr>
            <w:tcW w:w="900" w:type="dxa"/>
            <w:tcBorders>
              <w:top w:val="nil"/>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43,048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HUB**</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143,661</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11,702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Mātes kompānija**</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21,842</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2,063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JSC Longo Latvia</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12,649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Citas saistītās puses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143,661</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16,634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single"/>
                <w:vertAlign w:val="baseline"/>
              </w:rPr>
            </w:pPr>
            <w:r>
              <w:rPr>
                <w:rFonts w:ascii="Arial Narrow" w:eastAsia="Arial Narrow" w:hAnsi="Arial Narrow" w:cs="Arial Narrow"/>
                <w:b w:val="0"/>
                <w:i w:val="0"/>
                <w:strike w:val="0"/>
                <w:color w:val="000000"/>
                <w:sz w:val="16"/>
                <w:u w:val="single"/>
                <w:vertAlign w:val="baseline"/>
              </w:rPr>
              <w:t xml:space="preserve">Aktīvi </w:t>
            </w:r>
          </w:p>
        </w:tc>
        <w:tc>
          <w:tcPr>
            <w:tcW w:w="900" w:type="dxa"/>
            <w:tcBorders>
              <w:top w:val="nil"/>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3,270</w:t>
            </w:r>
          </w:p>
        </w:tc>
        <w:tc>
          <w:tcPr>
            <w:tcW w:w="900" w:type="dxa"/>
            <w:tcBorders>
              <w:top w:val="nil"/>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76,291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Nomas autoparka iegāde no AS "Longo Latvia" </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56,591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Nomas autoparka un pamatlīdzekļu iegāde no citām saistītām pusēm</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19,700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single"/>
                <w:vertAlign w:val="baseline"/>
              </w:rPr>
            </w:pPr>
            <w:r>
              <w:rPr>
                <w:rFonts w:ascii="Arial Narrow" w:eastAsia="Arial Narrow" w:hAnsi="Arial Narrow" w:cs="Arial Narrow"/>
                <w:b w:val="0"/>
                <w:i w:val="0"/>
                <w:strike w:val="0"/>
                <w:color w:val="000000"/>
                <w:sz w:val="16"/>
                <w:u w:val="single"/>
                <w:vertAlign w:val="baseline"/>
              </w:rPr>
              <w:t>Procentu izmaksas</w:t>
            </w:r>
          </w:p>
        </w:tc>
        <w:tc>
          <w:tcPr>
            <w:tcW w:w="900" w:type="dxa"/>
            <w:tcBorders>
              <w:top w:val="nil"/>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3,363</w:t>
            </w:r>
          </w:p>
        </w:tc>
        <w:tc>
          <w:tcPr>
            <w:tcW w:w="900" w:type="dxa"/>
            <w:tcBorders>
              <w:top w:val="nil"/>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41,093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Eleving Group S.A.</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41,093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single"/>
                <w:vertAlign w:val="baseline"/>
              </w:rPr>
            </w:pPr>
            <w:r>
              <w:rPr>
                <w:rFonts w:ascii="Arial Narrow" w:eastAsia="Arial Narrow" w:hAnsi="Arial Narrow" w:cs="Arial Narrow"/>
                <w:b w:val="0"/>
                <w:i w:val="0"/>
                <w:strike w:val="0"/>
                <w:color w:val="000000"/>
                <w:sz w:val="16"/>
                <w:u w:val="single"/>
                <w:vertAlign w:val="baseline"/>
              </w:rPr>
              <w:t>Procentu ieņēmumi (4. piezīme)</w:t>
            </w:r>
          </w:p>
        </w:tc>
        <w:tc>
          <w:tcPr>
            <w:tcW w:w="900" w:type="dxa"/>
            <w:tcBorders>
              <w:top w:val="nil"/>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4,346,354</w:t>
            </w:r>
          </w:p>
        </w:tc>
        <w:tc>
          <w:tcPr>
            <w:tcW w:w="900" w:type="dxa"/>
            <w:tcBorders>
              <w:top w:val="nil"/>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3,222,910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Mātes kompānija**</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1,133,292</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Eleving Group S.A.</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2,329,958</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2,715,262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HUB**</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883,104</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Citas saistītās personas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507,648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single"/>
                <w:vertAlign w:val="baseline"/>
              </w:rPr>
            </w:pPr>
            <w:r>
              <w:rPr>
                <w:rFonts w:ascii="Arial Narrow" w:eastAsia="Arial Narrow" w:hAnsi="Arial Narrow" w:cs="Arial Narrow"/>
                <w:b w:val="0"/>
                <w:i w:val="0"/>
                <w:strike w:val="0"/>
                <w:color w:val="000000"/>
                <w:sz w:val="16"/>
                <w:u w:val="single"/>
                <w:vertAlign w:val="baseline"/>
              </w:rPr>
              <w:t>Cesijas ieņēmumi (9. piezīme)</w:t>
            </w:r>
          </w:p>
        </w:tc>
        <w:tc>
          <w:tcPr>
            <w:tcW w:w="900" w:type="dxa"/>
            <w:tcBorders>
              <w:top w:val="nil"/>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2,112,091</w:t>
            </w:r>
          </w:p>
        </w:tc>
        <w:tc>
          <w:tcPr>
            <w:tcW w:w="900" w:type="dxa"/>
            <w:tcBorders>
              <w:top w:val="nil"/>
              <w:left w:val="nil"/>
              <w:bottom w:val="nil"/>
              <w:right w:val="nil"/>
              <w:tl2br w:val="nil"/>
              <w:tr2bl w:val="nil"/>
            </w:tcBorders>
            <w:shd w:val="clear" w:color="FFFFFF" w:fill="DEEBF7"/>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734,275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 Citas saistītās personas</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2,112,091</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734,275</w:t>
            </w:r>
          </w:p>
        </w:tc>
      </w:tr>
    </w:tbl>
    <w:p w:rsidR="00917AFE" w:rsidRPr="00317CEF" w:rsidP="001D555E" w14:paraId="6EA032B8" w14:textId="7A680114">
      <w:pPr>
        <w:spacing w:after="0" w:line="360" w:lineRule="auto"/>
        <w:jc w:val="both"/>
        <w:rPr>
          <w:rFonts w:ascii="Arial Narrow" w:eastAsia="Arial Narrow" w:hAnsi="Arial Narrow" w:cs="Arial Narrow"/>
          <w:color w:val="000000" w:themeColor="text1"/>
          <w:sz w:val="16"/>
          <w:szCs w:val="16"/>
          <w:lang w:val="lv-LV"/>
        </w:rPr>
      </w:pPr>
      <w:bookmarkStart w:id="1220" w:name="RG_MARKER_6662"/>
      <w:r w:rsidRPr="00317CEF">
        <w:rPr>
          <w:rFonts w:ascii="Arial Narrow" w:eastAsia="Arial Narrow" w:hAnsi="Arial Narrow" w:cs="Arial Narrow"/>
          <w:color w:val="000000" w:themeColor="text1"/>
          <w:sz w:val="16"/>
          <w:szCs w:val="16"/>
          <w:lang w:val="lv-LV"/>
        </w:rPr>
        <w:t>* Ja kāda cita puse ir iesaistīta preču vai pakalpojumu sniegšanā Koncerna klientiem, Koncerns uzskata, ka šajos darījumos tas darbojas kā pilnvarnieks</w:t>
      </w:r>
      <w:bookmarkEnd w:id="1220"/>
      <w:r w:rsidR="00D07FE6">
        <w:rPr>
          <w:rFonts w:ascii="Arial Narrow" w:eastAsia="Arial Narrow" w:hAnsi="Arial Narrow" w:cs="Arial Narrow"/>
          <w:color w:val="000000" w:themeColor="text1"/>
          <w:sz w:val="16"/>
          <w:szCs w:val="16"/>
          <w:lang w:val="lv-LV"/>
        </w:rPr>
        <w:t xml:space="preserve"> </w:t>
      </w:r>
      <w:r w:rsidRPr="00317CEF">
        <w:rPr>
          <w:rFonts w:ascii="Arial Narrow" w:eastAsia="Arial Narrow" w:hAnsi="Arial Narrow" w:cs="Arial Narrow"/>
          <w:color w:val="000000" w:themeColor="text1"/>
          <w:sz w:val="16"/>
          <w:szCs w:val="16"/>
          <w:lang w:val="lv-LV"/>
        </w:rPr>
        <w:t>(</w:t>
      </w:r>
      <w:r w:rsidR="009A26DF">
        <w:rPr>
          <w:rFonts w:ascii="Arial Narrow" w:eastAsia="Arial Narrow" w:hAnsi="Arial Narrow" w:cs="Arial Narrow"/>
          <w:color w:val="000000" w:themeColor="text1"/>
          <w:sz w:val="16"/>
          <w:szCs w:val="16"/>
          <w:lang w:val="lv-LV"/>
        </w:rPr>
        <w:t>3</w:t>
      </w:r>
      <w:r w:rsidR="0079122A">
        <w:rPr>
          <w:rFonts w:ascii="Arial Narrow" w:eastAsia="Arial Narrow" w:hAnsi="Arial Narrow" w:cs="Arial Narrow"/>
          <w:color w:val="000000" w:themeColor="text1"/>
          <w:sz w:val="16"/>
          <w:szCs w:val="16"/>
          <w:lang w:val="lv-LV"/>
        </w:rPr>
        <w:t xml:space="preserve">. </w:t>
      </w:r>
      <w:r w:rsidRPr="00317CEF">
        <w:rPr>
          <w:rFonts w:ascii="Arial Narrow" w:eastAsia="Arial Narrow" w:hAnsi="Arial Narrow" w:cs="Arial Narrow"/>
          <w:color w:val="000000" w:themeColor="text1"/>
          <w:sz w:val="16"/>
          <w:szCs w:val="16"/>
          <w:lang w:val="lv-LV"/>
        </w:rPr>
        <w:t>piezīme).</w:t>
      </w:r>
    </w:p>
    <w:p w:rsidR="001D555E" w:rsidRPr="00317CEF" w:rsidP="001D555E" w14:paraId="43F424CD" w14:textId="77777777">
      <w:pPr>
        <w:spacing w:after="0" w:line="360" w:lineRule="auto"/>
        <w:jc w:val="both"/>
        <w:rPr>
          <w:rFonts w:ascii="Arial Narrow" w:eastAsia="Arial Narrow" w:hAnsi="Arial Narrow" w:cs="Arial Narrow"/>
          <w:color w:val="000000" w:themeColor="text1"/>
          <w:sz w:val="16"/>
          <w:szCs w:val="16"/>
          <w:lang w:val="lv-LV"/>
        </w:rPr>
      </w:pPr>
    </w:p>
    <w:p w:rsidR="00133DD8" w:rsidP="001D555E" w14:paraId="71FB9117" w14:textId="3174B261">
      <w:pPr>
        <w:spacing w:after="0" w:line="360" w:lineRule="auto"/>
        <w:jc w:val="both"/>
        <w:rPr>
          <w:rFonts w:ascii="Arial Narrow" w:eastAsia="Arial Narrow" w:hAnsi="Arial Narrow" w:cs="Arial Narrow"/>
          <w:color w:val="000000" w:themeColor="text1"/>
          <w:sz w:val="16"/>
          <w:szCs w:val="16"/>
          <w:lang w:val="lv-LV"/>
        </w:rPr>
      </w:pPr>
      <w:r w:rsidRPr="00317CEF">
        <w:rPr>
          <w:rFonts w:ascii="Arial Narrow" w:eastAsia="Arial Narrow" w:hAnsi="Arial Narrow" w:cs="Arial Narrow"/>
          <w:color w:val="000000" w:themeColor="text1"/>
          <w:sz w:val="16"/>
          <w:szCs w:val="16"/>
          <w:lang w:val="lv-LV"/>
        </w:rPr>
        <w:t xml:space="preserve">** </w:t>
      </w:r>
      <w:r w:rsidRPr="00133DD8">
        <w:rPr>
          <w:rFonts w:ascii="Arial Narrow" w:eastAsia="Arial Narrow" w:hAnsi="Arial Narrow" w:cs="Arial Narrow"/>
          <w:color w:val="000000" w:themeColor="text1"/>
          <w:sz w:val="16"/>
          <w:szCs w:val="16"/>
          <w:lang w:val="lv-LV"/>
        </w:rPr>
        <w:t xml:space="preserve">Mātes kompānija – AS Eleving </w:t>
      </w:r>
      <w:r>
        <w:rPr>
          <w:rFonts w:ascii="Arial Narrow" w:eastAsia="Arial Narrow" w:hAnsi="Arial Narrow" w:cs="Arial Narrow"/>
          <w:color w:val="000000" w:themeColor="text1"/>
          <w:sz w:val="16"/>
          <w:szCs w:val="16"/>
          <w:lang w:val="lv-LV"/>
        </w:rPr>
        <w:t>L</w:t>
      </w:r>
      <w:r w:rsidRPr="00133DD8">
        <w:rPr>
          <w:rFonts w:ascii="Arial Narrow" w:eastAsia="Arial Narrow" w:hAnsi="Arial Narrow" w:cs="Arial Narrow"/>
          <w:color w:val="000000" w:themeColor="text1"/>
          <w:sz w:val="16"/>
          <w:szCs w:val="16"/>
          <w:lang w:val="lv-LV"/>
        </w:rPr>
        <w:t xml:space="preserve">una līdz 01.09.2021, AS Eleving Stella no </w:t>
      </w:r>
      <w:r w:rsidRPr="00133DD8">
        <w:rPr>
          <w:rFonts w:ascii="Arial Narrow" w:eastAsia="Arial Narrow" w:hAnsi="Arial Narrow" w:cs="Arial Narrow"/>
          <w:color w:val="000000" w:themeColor="text1"/>
          <w:sz w:val="16"/>
          <w:szCs w:val="16"/>
          <w:lang w:val="lv-LV"/>
        </w:rPr>
        <w:t>01.09.2021.</w:t>
      </w:r>
    </w:p>
    <w:p w:rsidR="001D555E" w:rsidP="001D555E" w14:paraId="6710DA68" w14:textId="1CF20D02">
      <w:pPr>
        <w:spacing w:after="0" w:line="360" w:lineRule="auto"/>
        <w:jc w:val="both"/>
        <w:rPr>
          <w:rFonts w:ascii="Arial Narrow" w:eastAsia="Arial Narrow" w:hAnsi="Arial Narrow" w:cs="Arial Narrow"/>
          <w:color w:val="000000" w:themeColor="text1"/>
          <w:sz w:val="16"/>
          <w:szCs w:val="16"/>
          <w:lang w:val="lv-LV"/>
        </w:rPr>
      </w:pPr>
      <w:r w:rsidRPr="00317CEF">
        <w:rPr>
          <w:rFonts w:ascii="Arial Narrow" w:eastAsia="Arial Narrow" w:hAnsi="Arial Narrow" w:cs="Arial Narrow"/>
          <w:color w:val="000000" w:themeColor="text1"/>
          <w:sz w:val="16"/>
          <w:szCs w:val="16"/>
          <w:lang w:val="lv-LV"/>
        </w:rPr>
        <w:t>HUB - ar nosaukumu HUB ir uzrādītas Koncerna saistītās puses AS "</w:t>
      </w:r>
      <w:r w:rsidR="00133DD8">
        <w:rPr>
          <w:rFonts w:ascii="Arial Narrow" w:eastAsia="Arial Narrow" w:hAnsi="Arial Narrow" w:cs="Arial Narrow"/>
          <w:sz w:val="16"/>
          <w:szCs w:val="16"/>
        </w:rPr>
        <w:t>Mogo Balkans and Central Asia</w:t>
      </w:r>
      <w:r w:rsidRPr="00317CEF">
        <w:rPr>
          <w:rFonts w:ascii="Arial Narrow" w:eastAsia="Arial Narrow" w:hAnsi="Arial Narrow" w:cs="Arial Narrow"/>
          <w:color w:val="000000" w:themeColor="text1"/>
          <w:sz w:val="16"/>
          <w:szCs w:val="16"/>
          <w:lang w:val="lv-LV"/>
        </w:rPr>
        <w:t>", AS "</w:t>
      </w:r>
      <w:r w:rsidRPr="00133DD8" w:rsidR="00133DD8">
        <w:rPr>
          <w:rFonts w:ascii="Arial Narrow" w:eastAsia="Arial Narrow" w:hAnsi="Arial Narrow" w:cs="Arial Narrow"/>
          <w:color w:val="000000" w:themeColor="text1"/>
          <w:sz w:val="16"/>
          <w:szCs w:val="16"/>
          <w:lang w:val="lv-LV"/>
        </w:rPr>
        <w:t>Eleving Stella</w:t>
      </w:r>
      <w:r w:rsidRPr="00317CEF">
        <w:rPr>
          <w:rFonts w:ascii="Arial Narrow" w:eastAsia="Arial Narrow" w:hAnsi="Arial Narrow" w:cs="Arial Narrow"/>
          <w:color w:val="000000" w:themeColor="text1"/>
          <w:sz w:val="16"/>
          <w:szCs w:val="16"/>
          <w:lang w:val="lv-LV"/>
        </w:rPr>
        <w:t>"</w:t>
      </w:r>
      <w:r w:rsidR="00133DD8">
        <w:rPr>
          <w:rFonts w:ascii="Arial Narrow" w:eastAsia="Arial Narrow" w:hAnsi="Arial Narrow" w:cs="Arial Narrow"/>
          <w:color w:val="000000" w:themeColor="text1"/>
          <w:sz w:val="16"/>
          <w:szCs w:val="16"/>
          <w:lang w:val="lv-LV"/>
        </w:rPr>
        <w:t xml:space="preserve"> </w:t>
      </w:r>
      <w:r w:rsidR="00EF7755">
        <w:rPr>
          <w:rFonts w:ascii="Arial Narrow" w:eastAsia="Arial Narrow" w:hAnsi="Arial Narrow" w:cs="Arial Narrow"/>
          <w:color w:val="000000" w:themeColor="text1"/>
          <w:sz w:val="16"/>
          <w:szCs w:val="16"/>
          <w:lang w:val="lv-LV"/>
        </w:rPr>
        <w:t>līdz</w:t>
      </w:r>
      <w:r w:rsidR="00133DD8">
        <w:rPr>
          <w:rFonts w:ascii="Arial Narrow" w:eastAsia="Arial Narrow" w:hAnsi="Arial Narrow" w:cs="Arial Narrow"/>
          <w:sz w:val="16"/>
          <w:szCs w:val="16"/>
        </w:rPr>
        <w:t xml:space="preserve"> 01.09.2021</w:t>
      </w:r>
      <w:r w:rsidRPr="00317CEF">
        <w:rPr>
          <w:rFonts w:ascii="Arial Narrow" w:eastAsia="Arial Narrow" w:hAnsi="Arial Narrow" w:cs="Arial Narrow"/>
          <w:color w:val="000000" w:themeColor="text1"/>
          <w:sz w:val="16"/>
          <w:szCs w:val="16"/>
          <w:lang w:val="lv-LV"/>
        </w:rPr>
        <w:t>, AS "</w:t>
      </w:r>
      <w:r w:rsidRPr="00EF7755" w:rsidR="00EF7755">
        <w:rPr>
          <w:rFonts w:ascii="Arial Narrow" w:eastAsia="Arial Narrow" w:hAnsi="Arial Narrow" w:cs="Arial Narrow"/>
          <w:color w:val="000000" w:themeColor="text1"/>
          <w:sz w:val="16"/>
          <w:szCs w:val="16"/>
          <w:lang w:val="lv-LV"/>
        </w:rPr>
        <w:t>Eleving Solis</w:t>
      </w:r>
      <w:r w:rsidRPr="00317CEF">
        <w:rPr>
          <w:rFonts w:ascii="Arial Narrow" w:eastAsia="Arial Narrow" w:hAnsi="Arial Narrow" w:cs="Arial Narrow"/>
          <w:color w:val="000000" w:themeColor="text1"/>
          <w:sz w:val="16"/>
          <w:szCs w:val="16"/>
          <w:lang w:val="lv-LV"/>
        </w:rPr>
        <w:t>", AS "</w:t>
      </w:r>
      <w:r w:rsidRPr="00EF7755" w:rsidR="00EF7755">
        <w:rPr>
          <w:rFonts w:ascii="Arial Narrow" w:eastAsia="Arial Narrow" w:hAnsi="Arial Narrow" w:cs="Arial Narrow"/>
          <w:color w:val="000000" w:themeColor="text1"/>
          <w:sz w:val="16"/>
          <w:szCs w:val="16"/>
          <w:lang w:val="lv-LV"/>
        </w:rPr>
        <w:t>Eleving Finance</w:t>
      </w:r>
      <w:r w:rsidRPr="00317CEF">
        <w:rPr>
          <w:rFonts w:ascii="Arial Narrow" w:eastAsia="Arial Narrow" w:hAnsi="Arial Narrow" w:cs="Arial Narrow"/>
          <w:color w:val="000000" w:themeColor="text1"/>
          <w:sz w:val="16"/>
          <w:szCs w:val="16"/>
          <w:lang w:val="lv-LV"/>
        </w:rPr>
        <w:t>" un AS "</w:t>
      </w:r>
      <w:r w:rsidRPr="00EF7755" w:rsidR="00EF7755">
        <w:rPr>
          <w:rFonts w:ascii="Arial Narrow" w:eastAsia="Arial Narrow" w:hAnsi="Arial Narrow" w:cs="Arial Narrow"/>
          <w:color w:val="000000" w:themeColor="text1"/>
          <w:sz w:val="16"/>
          <w:szCs w:val="16"/>
          <w:lang w:val="lv-LV"/>
        </w:rPr>
        <w:t>Eleving Vehicle Finance</w:t>
      </w:r>
      <w:r w:rsidRPr="00317CEF">
        <w:rPr>
          <w:rFonts w:ascii="Arial Narrow" w:eastAsia="Arial Narrow" w:hAnsi="Arial Narrow" w:cs="Arial Narrow"/>
          <w:color w:val="000000" w:themeColor="text1"/>
          <w:sz w:val="16"/>
          <w:szCs w:val="16"/>
          <w:lang w:val="lv-LV"/>
        </w:rPr>
        <w:t>"</w:t>
      </w:r>
      <w:r w:rsidR="00EF7755">
        <w:rPr>
          <w:rFonts w:ascii="Arial Narrow" w:eastAsia="Arial Narrow" w:hAnsi="Arial Narrow" w:cs="Arial Narrow"/>
          <w:color w:val="000000" w:themeColor="text1"/>
          <w:sz w:val="16"/>
          <w:szCs w:val="16"/>
          <w:lang w:val="lv-LV"/>
        </w:rPr>
        <w:t xml:space="preserve">, </w:t>
      </w:r>
      <w:r w:rsidR="00EF7755">
        <w:rPr>
          <w:rFonts w:ascii="Arial Narrow" w:eastAsia="Arial Narrow" w:hAnsi="Arial Narrow" w:cs="Arial Narrow"/>
          <w:sz w:val="16"/>
          <w:szCs w:val="16"/>
        </w:rPr>
        <w:t>AS</w:t>
      </w:r>
      <w:r w:rsidR="00EF7755">
        <w:rPr>
          <w:rFonts w:ascii="Arial Narrow" w:eastAsia="Arial Narrow" w:hAnsi="Arial Narrow" w:cs="Arial Narrow"/>
          <w:sz w:val="16"/>
          <w:szCs w:val="16"/>
        </w:rPr>
        <w:t xml:space="preserve"> </w:t>
      </w:r>
      <w:r w:rsidRPr="00317CEF" w:rsidR="00EF7755">
        <w:rPr>
          <w:rFonts w:ascii="Arial Narrow" w:eastAsia="Arial Narrow" w:hAnsi="Arial Narrow" w:cs="Arial Narrow"/>
          <w:color w:val="000000" w:themeColor="text1"/>
          <w:sz w:val="16"/>
          <w:szCs w:val="16"/>
          <w:lang w:val="lv-LV"/>
        </w:rPr>
        <w:t>"</w:t>
      </w:r>
      <w:r w:rsidR="00EF7755">
        <w:rPr>
          <w:rFonts w:ascii="Arial Narrow" w:eastAsia="Arial Narrow" w:hAnsi="Arial Narrow" w:cs="Arial Narrow"/>
          <w:sz w:val="16"/>
          <w:szCs w:val="16"/>
        </w:rPr>
        <w:t>Eleving Luna</w:t>
      </w:r>
      <w:r w:rsidRPr="00317CEF" w:rsidR="00EF7755">
        <w:rPr>
          <w:rFonts w:ascii="Arial Narrow" w:eastAsia="Arial Narrow" w:hAnsi="Arial Narrow" w:cs="Arial Narrow"/>
          <w:color w:val="000000" w:themeColor="text1"/>
          <w:sz w:val="16"/>
          <w:szCs w:val="16"/>
          <w:lang w:val="lv-LV"/>
        </w:rPr>
        <w:t>"</w:t>
      </w:r>
      <w:r w:rsidR="00EF7755">
        <w:rPr>
          <w:rFonts w:ascii="Arial Narrow" w:eastAsia="Arial Narrow" w:hAnsi="Arial Narrow" w:cs="Arial Narrow"/>
          <w:sz w:val="16"/>
          <w:szCs w:val="16"/>
        </w:rPr>
        <w:t xml:space="preserve"> </w:t>
      </w:r>
      <w:r w:rsidR="00EF7755">
        <w:rPr>
          <w:rFonts w:ascii="Arial Narrow" w:eastAsia="Arial Narrow" w:hAnsi="Arial Narrow" w:cs="Arial Narrow"/>
          <w:sz w:val="16"/>
          <w:szCs w:val="16"/>
        </w:rPr>
        <w:t>no</w:t>
      </w:r>
      <w:r w:rsidR="00EF7755">
        <w:rPr>
          <w:rFonts w:ascii="Arial Narrow" w:eastAsia="Arial Narrow" w:hAnsi="Arial Narrow" w:cs="Arial Narrow"/>
          <w:sz w:val="16"/>
          <w:szCs w:val="16"/>
        </w:rPr>
        <w:t xml:space="preserve"> 01.09.2021.</w:t>
      </w:r>
    </w:p>
    <w:p w:rsidR="00EF7755" w:rsidRPr="00317CEF" w:rsidP="001D555E" w14:paraId="0CE9D8C0" w14:textId="77777777">
      <w:pPr>
        <w:spacing w:after="0" w:line="360" w:lineRule="auto"/>
        <w:jc w:val="both"/>
        <w:rPr>
          <w:rFonts w:ascii="Arial Narrow" w:eastAsia="Arial Narrow" w:hAnsi="Arial Narrow" w:cs="Arial Narrow"/>
          <w:color w:val="000000" w:themeColor="text1"/>
          <w:sz w:val="16"/>
          <w:szCs w:val="16"/>
          <w:lang w:val="lv-LV"/>
        </w:rPr>
      </w:pPr>
    </w:p>
    <w:p w:rsidR="00917AFE" w:rsidP="001D555E" w14:paraId="72AF3996" w14:textId="4798B3DA">
      <w:pPr>
        <w:spacing w:after="0" w:line="360" w:lineRule="auto"/>
        <w:jc w:val="both"/>
        <w:rPr>
          <w:rFonts w:ascii="Arial Narrow" w:eastAsia="Arial Narrow" w:hAnsi="Arial Narrow" w:cs="Arial Narrow"/>
          <w:color w:val="000000" w:themeColor="text1"/>
          <w:sz w:val="16"/>
          <w:szCs w:val="16"/>
          <w:lang w:val="lv-LV"/>
        </w:rPr>
      </w:pPr>
      <w:r w:rsidRPr="00317CEF">
        <w:rPr>
          <w:rFonts w:ascii="Arial Narrow" w:eastAsia="Arial Narrow" w:hAnsi="Arial Narrow" w:cs="Arial Narrow"/>
          <w:color w:val="000000" w:themeColor="text1"/>
          <w:sz w:val="16"/>
          <w:szCs w:val="16"/>
          <w:lang w:val="lv-LV"/>
        </w:rPr>
        <w:t xml:space="preserve">*** Citi saņemti pakalpojumi - ietver </w:t>
      </w:r>
      <w:r w:rsidRPr="00317CEF">
        <w:rPr>
          <w:rFonts w:ascii="Arial Narrow" w:eastAsia="Arial Narrow" w:hAnsi="Arial Narrow" w:cs="Arial Narrow"/>
          <w:color w:val="000000" w:themeColor="text1"/>
          <w:sz w:val="16"/>
          <w:szCs w:val="16"/>
          <w:lang w:val="lv-LV"/>
        </w:rPr>
        <w:t>automašīnu pārdošanas komisijas naudas (kas ietilpst neto finanšu līzinga debitoru parādos). Ietver arī no saistītām pusēm iekasētus izdevumus.</w:t>
      </w:r>
      <w:r w:rsidRPr="00317CEF">
        <w:rPr>
          <w:rFonts w:ascii="Arial Narrow" w:eastAsia="Arial Narrow" w:hAnsi="Arial Narrow" w:cs="Arial Narrow"/>
          <w:color w:val="000000" w:themeColor="text1"/>
          <w:sz w:val="16"/>
          <w:szCs w:val="16"/>
          <w:lang w:val="lv-LV"/>
        </w:rPr>
        <w:tab/>
      </w:r>
    </w:p>
    <w:p w:rsidR="001D555E" w:rsidRPr="00317CEF" w:rsidP="001D555E" w14:paraId="30709ED0" w14:textId="77777777">
      <w:pPr>
        <w:spacing w:after="0" w:line="360" w:lineRule="auto"/>
        <w:jc w:val="both"/>
        <w:rPr>
          <w:rFonts w:ascii="Arial Narrow" w:eastAsia="Arial Narrow" w:hAnsi="Arial Narrow" w:cs="Arial Narrow"/>
          <w:color w:val="000000" w:themeColor="text1"/>
          <w:sz w:val="16"/>
          <w:szCs w:val="16"/>
          <w:lang w:val="lv-LV"/>
        </w:rPr>
      </w:pPr>
    </w:p>
    <w:p w:rsidR="00917AFE" w:rsidRPr="00317CEF" w:rsidP="001D555E" w14:paraId="4741280D" w14:textId="37806C52">
      <w:pPr>
        <w:spacing w:after="0" w:line="360" w:lineRule="auto"/>
        <w:jc w:val="both"/>
        <w:rPr>
          <w:rFonts w:ascii="Arial Narrow" w:eastAsia="Arial Narrow" w:hAnsi="Arial Narrow" w:cs="Arial Narrow"/>
          <w:color w:val="000000" w:themeColor="text1"/>
          <w:sz w:val="16"/>
          <w:szCs w:val="16"/>
          <w:lang w:val="lv-LV"/>
        </w:rPr>
      </w:pPr>
      <w:r w:rsidRPr="00317CEF">
        <w:rPr>
          <w:rFonts w:ascii="Arial Narrow" w:eastAsia="Arial Narrow" w:hAnsi="Arial Narrow" w:cs="Arial Narrow"/>
          <w:color w:val="000000" w:themeColor="text1"/>
          <w:sz w:val="16"/>
          <w:szCs w:val="16"/>
          <w:lang w:val="lv-LV"/>
        </w:rPr>
        <w:t>**** Vadības pakalpojumi ietver neatskaitāmu PVN</w:t>
      </w:r>
      <w:r>
        <w:rPr>
          <w:rFonts w:ascii="Arial Narrow" w:eastAsia="Arial Narrow" w:hAnsi="Arial Narrow" w:cs="Arial Narrow"/>
          <w:color w:val="000000" w:themeColor="text1"/>
          <w:sz w:val="16"/>
          <w:szCs w:val="16"/>
          <w:lang w:val="lv-LV"/>
        </w:rPr>
        <w:t>.</w:t>
      </w:r>
    </w:p>
    <w:p w:rsidR="00C93BAA" w:rsidP="00C93BAA" w14:paraId="74084D4B" w14:textId="77777777">
      <w:pPr>
        <w:spacing w:after="0" w:line="360" w:lineRule="auto"/>
        <w:jc w:val="both"/>
        <w:rPr>
          <w:rFonts w:ascii="Arial Narrow" w:eastAsia="Arial Narrow" w:hAnsi="Arial Narrow" w:cs="Arial Narrow"/>
          <w:color w:val="000000" w:themeColor="text1"/>
          <w:sz w:val="16"/>
          <w:szCs w:val="16"/>
          <w:lang w:val="lv-LV"/>
        </w:rPr>
      </w:pPr>
    </w:p>
    <w:p w:rsidR="00C93BAA" w:rsidRPr="00317CEF" w:rsidP="00C93BAA" w14:paraId="7D8A237D" w14:textId="77777777">
      <w:pPr>
        <w:spacing w:after="0" w:line="360" w:lineRule="auto"/>
        <w:jc w:val="both"/>
        <w:rPr>
          <w:rFonts w:ascii="Arial Narrow" w:eastAsia="Arial Narrow" w:hAnsi="Arial Narrow" w:cs="Arial Narrow"/>
          <w:color w:val="000000" w:themeColor="text1"/>
          <w:sz w:val="16"/>
          <w:szCs w:val="16"/>
          <w:lang w:val="lv-LV"/>
        </w:rPr>
      </w:pPr>
      <w:r w:rsidRPr="00B06BF4">
        <w:rPr>
          <w:rFonts w:ascii="Arial Narrow" w:eastAsia="Arial Narrow" w:hAnsi="Arial Narrow" w:cs="Arial Narrow"/>
          <w:color w:val="000000" w:themeColor="text1"/>
          <w:sz w:val="16"/>
          <w:szCs w:val="16"/>
          <w:lang w:val="lv-LV"/>
        </w:rPr>
        <w:t>***** Sākot ar 03.03.2020 AS Longo Latvia nav saistītā puse.</w:t>
      </w:r>
    </w:p>
    <w:p w:rsidR="001D555E" w:rsidRPr="00317CEF" w:rsidP="001D555E" w14:paraId="29776A4C" w14:textId="77777777">
      <w:pPr>
        <w:spacing w:after="0" w:line="360" w:lineRule="auto"/>
        <w:jc w:val="both"/>
        <w:rPr>
          <w:rFonts w:ascii="Arial Narrow" w:eastAsia="Arial Narrow" w:hAnsi="Arial Narrow" w:cs="Arial Narrow"/>
          <w:color w:val="000000" w:themeColor="text1"/>
          <w:sz w:val="16"/>
          <w:szCs w:val="16"/>
          <w:lang w:val="lv-LV"/>
        </w:rPr>
      </w:pPr>
    </w:p>
    <w:p w:rsidR="00917AFE" w:rsidRPr="00317CEF" w:rsidP="001D555E" w14:paraId="7592C385" w14:textId="493959E7">
      <w:pPr>
        <w:spacing w:after="0" w:line="360" w:lineRule="auto"/>
        <w:jc w:val="both"/>
        <w:rPr>
          <w:rFonts w:ascii="Arial Narrow" w:eastAsia="Arial Narrow" w:hAnsi="Arial Narrow" w:cs="Arial Narrow"/>
          <w:color w:val="000000" w:themeColor="text1"/>
          <w:sz w:val="16"/>
          <w:szCs w:val="16"/>
          <w:lang w:val="lv-LV"/>
        </w:rPr>
      </w:pPr>
      <w:r>
        <w:rPr>
          <w:rFonts w:ascii="Arial Narrow" w:eastAsia="Arial Narrow" w:hAnsi="Arial Narrow" w:cs="Arial Narrow"/>
          <w:color w:val="000000" w:themeColor="text1"/>
          <w:sz w:val="16"/>
          <w:szCs w:val="16"/>
          <w:lang w:val="lv-LV"/>
        </w:rPr>
        <w:t>1</w:t>
      </w:r>
      <w:r w:rsidRPr="00317CEF">
        <w:rPr>
          <w:rFonts w:ascii="Arial Narrow" w:eastAsia="Arial Narrow" w:hAnsi="Arial Narrow" w:cs="Arial Narrow"/>
          <w:color w:val="000000" w:themeColor="text1"/>
          <w:sz w:val="16"/>
          <w:szCs w:val="16"/>
          <w:lang w:val="lv-LV"/>
        </w:rPr>
        <w:t>) Cesijas ienākumi no darījumiem ar saistītām pusēm ir ietverti neto peļņā/(zaudējumos) no amortizētajā iegādes vērtībā novērtētu finanšu aktīvu atzīšanas pārtraukšanas (</w:t>
      </w:r>
      <w:r w:rsidRPr="00317CEF">
        <w:rPr>
          <w:rFonts w:ascii="Arial Narrow" w:eastAsia="Arial Narrow" w:hAnsi="Arial Narrow" w:cs="Arial Narrow"/>
          <w:color w:val="000000" w:themeColor="text1"/>
          <w:sz w:val="16"/>
          <w:szCs w:val="16"/>
          <w:lang w:val="lv-LV"/>
        </w:rPr>
        <w:t>9</w:t>
      </w:r>
      <w:r w:rsidRPr="00317CEF">
        <w:rPr>
          <w:rFonts w:ascii="Arial Narrow" w:eastAsia="Arial Narrow" w:hAnsi="Arial Narrow" w:cs="Arial Narrow"/>
          <w:color w:val="000000" w:themeColor="text1"/>
          <w:sz w:val="16"/>
          <w:szCs w:val="16"/>
          <w:lang w:val="lv-LV"/>
        </w:rPr>
        <w:t>. piezīme).</w:t>
      </w:r>
    </w:p>
    <w:p w:rsidR="00917AFE" w:rsidRPr="00317CEF" w:rsidP="00917AFE" w14:paraId="12C2216A" w14:textId="77777777">
      <w:pPr>
        <w:rPr>
          <w:rFonts w:ascii="Arial Narrow" w:eastAsia="Arial Narrow" w:hAnsi="Arial Narrow" w:cs="Arial Narrow"/>
          <w:b/>
          <w:bCs/>
          <w:color w:val="000000" w:themeColor="text1"/>
          <w:sz w:val="16"/>
          <w:szCs w:val="16"/>
          <w:lang w:val="lv-LV"/>
        </w:rPr>
      </w:pPr>
      <w:r>
        <w:t xml:space="preserve"> </w:t>
      </w:r>
    </w:p>
    <w:tbl>
      <w:tblPr>
        <w:tblStyle w:val="CDMRange1"/>
        <w:tblW w:w="9600" w:type="dxa"/>
        <w:tblLayout w:type="fixed"/>
        <w:tblLook w:val="0600"/>
      </w:tblPr>
      <w:tblGrid>
        <w:gridCol w:w="5100"/>
        <w:gridCol w:w="900"/>
        <w:gridCol w:w="900"/>
        <w:gridCol w:w="900"/>
        <w:gridCol w:w="900"/>
        <w:gridCol w:w="900"/>
      </w:tblGrid>
      <w:tr>
        <w:tblPrEx>
          <w:tblW w:w="9600" w:type="dxa"/>
          <w:tblLayout w:type="fixed"/>
          <w:tblLook w:val="0600"/>
        </w:tblPrEx>
        <w:trPr>
          <w:trHeight w:hRule="exact" w:val="255"/>
        </w:trPr>
        <w:tc>
          <w:tcPr>
            <w:tcW w:w="51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pageBreakBefore/>
              <w:bidi w:val="0"/>
              <w:spacing w:before="0" w:beforeAutospacing="0" w:after="0" w:afterAutospacing="0" w:line="240" w:lineRule="auto"/>
              <w:jc w:val="both"/>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36. Darījumi ar saistītām sabiedrībām (turpinājums)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both"/>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both"/>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Saistīto personu debitoru parādi</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630"/>
        </w:trPr>
        <w:tc>
          <w:tcPr>
            <w:tcW w:w="51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Ilgtermiņa</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Gada procentu likme (%)</w:t>
            </w:r>
          </w:p>
        </w:tc>
        <w:tc>
          <w:tcPr>
            <w:tcW w:w="1800" w:type="dxa"/>
            <w:gridSpan w:val="2"/>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Dzēšanas termiņš</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51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parāds par aizņēmumu no saistītas puses 1)</w:t>
            </w:r>
          </w:p>
        </w:tc>
        <w:tc>
          <w:tcPr>
            <w:tcW w:w="900" w:type="dxa"/>
            <w:tcBorders>
              <w:top w:val="single" w:sz="4" w:space="0" w:color="000000"/>
              <w:left w:val="nil"/>
              <w:bottom w:val="nil"/>
              <w:right w:val="nil"/>
              <w:tl2br w:val="nil"/>
              <w:tr2bl w:val="nil"/>
            </w:tcBorders>
            <w:shd w:val="clear" w:color="FFFFFF" w:fill="E2F0D9"/>
            <w:noWrap/>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12.50</w:t>
            </w:r>
          </w:p>
        </w:tc>
        <w:tc>
          <w:tcPr>
            <w:tcW w:w="1800" w:type="dxa"/>
            <w:gridSpan w:val="2"/>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April 2023</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700,000</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23,173,036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51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parāds par aizņēmumu no saistītas puses 2)</w:t>
            </w:r>
          </w:p>
        </w:tc>
        <w:tc>
          <w:tcPr>
            <w:tcW w:w="900" w:type="dxa"/>
            <w:tcBorders>
              <w:top w:val="nil"/>
              <w:left w:val="nil"/>
              <w:bottom w:val="nil"/>
              <w:right w:val="nil"/>
              <w:tl2br w:val="nil"/>
              <w:tr2bl w:val="nil"/>
            </w:tcBorders>
            <w:shd w:val="clear" w:color="FFFFFF" w:fill="E2F0D9"/>
            <w:noWrap/>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12.00</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April 2023</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8,827,118</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51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parāds par aizņēmumu no saistītas puses 3)</w:t>
            </w:r>
          </w:p>
        </w:tc>
        <w:tc>
          <w:tcPr>
            <w:tcW w:w="900" w:type="dxa"/>
            <w:tcBorders>
              <w:top w:val="nil"/>
              <w:left w:val="nil"/>
              <w:bottom w:val="nil"/>
              <w:right w:val="nil"/>
              <w:tl2br w:val="nil"/>
              <w:tr2bl w:val="nil"/>
            </w:tcBorders>
            <w:shd w:val="clear" w:color="FFFFFF" w:fill="E2F0D9"/>
            <w:noWrap/>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12.00</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June 2026</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7,934,000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51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parāds par aizņēmumu no saistītas puses 4)</w:t>
            </w:r>
          </w:p>
        </w:tc>
        <w:tc>
          <w:tcPr>
            <w:tcW w:w="900" w:type="dxa"/>
            <w:tcBorders>
              <w:top w:val="nil"/>
              <w:left w:val="nil"/>
              <w:bottom w:val="nil"/>
              <w:right w:val="nil"/>
              <w:tl2br w:val="nil"/>
              <w:tr2bl w:val="nil"/>
            </w:tcBorders>
            <w:shd w:val="clear" w:color="FFFFFF" w:fill="E2F0D9"/>
            <w:noWrap/>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12.00</w:t>
            </w:r>
          </w:p>
        </w:tc>
        <w:tc>
          <w:tcPr>
            <w:tcW w:w="1800" w:type="dxa"/>
            <w:gridSpan w:val="2"/>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October 2026</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17,640,000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51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parāds par aizņēmumu no meitas uzņēmuma 5)</w:t>
            </w:r>
          </w:p>
        </w:tc>
        <w:tc>
          <w:tcPr>
            <w:tcW w:w="900" w:type="dxa"/>
            <w:tcBorders>
              <w:top w:val="nil"/>
              <w:left w:val="nil"/>
              <w:bottom w:val="single" w:sz="4" w:space="0" w:color="000000"/>
              <w:right w:val="nil"/>
              <w:tl2br w:val="nil"/>
              <w:tr2bl w:val="nil"/>
            </w:tcBorders>
            <w:shd w:val="clear" w:color="FFFFFF" w:fill="E2F0D9"/>
            <w:noWrap/>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12.50</w:t>
            </w:r>
          </w:p>
        </w:tc>
        <w:tc>
          <w:tcPr>
            <w:tcW w:w="1800" w:type="dxa"/>
            <w:gridSpan w:val="2"/>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September 2024</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5,159,729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Īstermiņa</w:t>
            </w: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Uzkrātie procenti par Eleving Group S.A. aizņēmumu</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246,530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35,101,118</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28,579,295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bl>
    <w:p w:rsidR="00473ECE" w:rsidRPr="007C4032" w:rsidP="007C4032" w14:paraId="38AF2711" w14:textId="3EAFDEF8">
      <w:pPr>
        <w:pStyle w:val="ListParagraph"/>
        <w:numPr>
          <w:ilvl w:val="0"/>
          <w:numId w:val="2"/>
        </w:numPr>
        <w:spacing w:after="0" w:line="360" w:lineRule="auto"/>
        <w:jc w:val="both"/>
        <w:rPr>
          <w:rFonts w:ascii="Arial Narrow" w:eastAsia="Arial Narrow" w:hAnsi="Arial Narrow" w:cs="Arial Narrow"/>
          <w:sz w:val="16"/>
          <w:szCs w:val="16"/>
          <w:lang w:val="lv-LV"/>
        </w:rPr>
      </w:pPr>
      <w:bookmarkStart w:id="1221" w:name="RG_MARKER_6663"/>
      <w:r w:rsidRPr="007C4032">
        <w:rPr>
          <w:rFonts w:ascii="Arial Narrow" w:eastAsia="Arial Narrow" w:hAnsi="Arial Narrow" w:cs="Arial Narrow"/>
          <w:sz w:val="16"/>
          <w:szCs w:val="16"/>
          <w:lang w:val="lv-LV"/>
        </w:rPr>
        <w:t xml:space="preserve">2017. gadā Koncerns parakstīja aizdevuma līgumu ar </w:t>
      </w:r>
      <w:bookmarkEnd w:id="1221"/>
      <w:r w:rsidRPr="001F704B">
        <w:rPr>
          <w:rFonts w:ascii="Arial Narrow" w:eastAsia="Arial Narrow" w:hAnsi="Arial Narrow" w:cs="Arial Narrow"/>
          <w:sz w:val="16"/>
          <w:szCs w:val="16"/>
          <w:lang w:val="lv-LV"/>
        </w:rPr>
        <w:t>Eleving Group</w:t>
      </w:r>
      <w:r>
        <w:rPr>
          <w:rFonts w:ascii="Arial Narrow" w:eastAsia="Arial Narrow" w:hAnsi="Arial Narrow" w:cs="Arial Narrow"/>
          <w:sz w:val="16"/>
          <w:szCs w:val="16"/>
          <w:lang w:val="lv-LV"/>
        </w:rPr>
        <w:t xml:space="preserve"> </w:t>
      </w:r>
      <w:r w:rsidRPr="007C4032">
        <w:rPr>
          <w:rFonts w:ascii="Arial Narrow" w:eastAsia="Arial Narrow" w:hAnsi="Arial Narrow" w:cs="Arial Narrow"/>
          <w:sz w:val="16"/>
          <w:szCs w:val="16"/>
          <w:lang w:val="lv-LV"/>
        </w:rPr>
        <w:t xml:space="preserve">S.A. Saskaņā ar šī līguma nosacījumiem abām pusēm ir iespēja vienoties par elastīgu aizdevuma izmaksu un tā atmaksas nosacījumiem. Maksimālais aizdevuma apjoms ir 30 miljoni eiro ar </w:t>
      </w:r>
      <w:r w:rsidRPr="007C4032">
        <w:rPr>
          <w:rFonts w:ascii="Arial Narrow" w:eastAsia="Arial Narrow" w:hAnsi="Arial Narrow" w:cs="Arial Narrow"/>
          <w:sz w:val="16"/>
          <w:szCs w:val="16"/>
          <w:lang w:val="lv-LV"/>
        </w:rPr>
        <w:t>dzēšanas termiņu līdz 27.04.2023 un fiksēto procentu likmi 12,5%.</w:t>
      </w:r>
    </w:p>
    <w:p w:rsidR="007C4032" w:rsidP="007C4032" w14:paraId="6F993CA8" w14:textId="31A27477">
      <w:pPr>
        <w:pStyle w:val="ListParagraph"/>
        <w:numPr>
          <w:ilvl w:val="0"/>
          <w:numId w:val="2"/>
        </w:numPr>
        <w:spacing w:after="0" w:line="360" w:lineRule="auto"/>
        <w:jc w:val="both"/>
        <w:rPr>
          <w:rFonts w:ascii="Arial Narrow" w:eastAsia="Arial Narrow" w:hAnsi="Arial Narrow" w:cs="Arial Narrow"/>
          <w:sz w:val="16"/>
          <w:szCs w:val="16"/>
          <w:lang w:val="lv-LV"/>
        </w:rPr>
      </w:pPr>
      <w:r w:rsidRPr="007C4032">
        <w:rPr>
          <w:rFonts w:ascii="Arial Narrow" w:eastAsia="Arial Narrow" w:hAnsi="Arial Narrow" w:cs="Arial Narrow"/>
          <w:sz w:val="16"/>
          <w:szCs w:val="16"/>
          <w:lang w:val="lv-LV"/>
        </w:rPr>
        <w:t>2021.gadā Koncerns ir parakstījis aizdevuma līgumu ar Mātes uzņēmumu Eleving Stella AS  Saskaņā ar šī līguma nosacījumiem abām pusēm ir iespēja vienoties par elastīgu aizdevuma izmaksu un tā</w:t>
      </w:r>
      <w:r w:rsidRPr="007C4032">
        <w:rPr>
          <w:rFonts w:ascii="Arial Narrow" w:eastAsia="Arial Narrow" w:hAnsi="Arial Narrow" w:cs="Arial Narrow"/>
          <w:sz w:val="16"/>
          <w:szCs w:val="16"/>
          <w:lang w:val="lv-LV"/>
        </w:rPr>
        <w:t xml:space="preserve"> atmaksas nosacījumiem. Maksimālais aizdevuma apjoms ir 9,12 miljoni EUR ar dzēšanas termiņu 27.04.2023 un un fiksēto procentu likmi 12,0%.</w:t>
      </w:r>
    </w:p>
    <w:p w:rsidR="0043047F" w:rsidP="007C4032" w14:paraId="405AD6E4" w14:textId="190DE8E6">
      <w:pPr>
        <w:pStyle w:val="ListParagraph"/>
        <w:numPr>
          <w:ilvl w:val="0"/>
          <w:numId w:val="2"/>
        </w:numPr>
        <w:spacing w:after="0" w:line="360" w:lineRule="auto"/>
        <w:jc w:val="both"/>
        <w:rPr>
          <w:rFonts w:ascii="Arial Narrow" w:eastAsia="Arial Narrow" w:hAnsi="Arial Narrow" w:cs="Arial Narrow"/>
          <w:sz w:val="16"/>
          <w:szCs w:val="16"/>
          <w:lang w:val="lv-LV"/>
        </w:rPr>
      </w:pPr>
      <w:r w:rsidRPr="0043047F">
        <w:rPr>
          <w:rFonts w:ascii="Arial Narrow" w:eastAsia="Arial Narrow" w:hAnsi="Arial Narrow" w:cs="Arial Narrow"/>
          <w:sz w:val="16"/>
          <w:szCs w:val="16"/>
          <w:lang w:val="lv-LV"/>
        </w:rPr>
        <w:t>2021.gadā Sabiedrība ir parakstījusi aizdevuma līgumu ar Mātes uzņēmumu Eleving Stella AS Saskaņā ar šī līguma nosac</w:t>
      </w:r>
      <w:r w:rsidRPr="0043047F">
        <w:rPr>
          <w:rFonts w:ascii="Arial Narrow" w:eastAsia="Arial Narrow" w:hAnsi="Arial Narrow" w:cs="Arial Narrow"/>
          <w:sz w:val="16"/>
          <w:szCs w:val="16"/>
          <w:lang w:val="lv-LV"/>
        </w:rPr>
        <w:t>ījumiem abām pusēm ir iespēja vienoties par elastīgu aizdevuma izmaksu un tā atmaksas nosacījumiem. Maksimālais aizdevuma apjoms ir 30 milj.EUR ar dzēšanas termiņu 21.06.2026 un fiksēto procentu likmi 12,0%.</w:t>
      </w:r>
    </w:p>
    <w:p w:rsidR="0043047F" w:rsidP="007C4032" w14:paraId="45AC8CE1" w14:textId="54F1A0F5">
      <w:pPr>
        <w:pStyle w:val="ListParagraph"/>
        <w:numPr>
          <w:ilvl w:val="0"/>
          <w:numId w:val="2"/>
        </w:numPr>
        <w:spacing w:after="0" w:line="360" w:lineRule="auto"/>
        <w:jc w:val="both"/>
        <w:rPr>
          <w:rFonts w:ascii="Arial Narrow" w:eastAsia="Arial Narrow" w:hAnsi="Arial Narrow" w:cs="Arial Narrow"/>
          <w:sz w:val="16"/>
          <w:szCs w:val="16"/>
          <w:lang w:val="lv-LV"/>
        </w:rPr>
      </w:pPr>
      <w:r w:rsidRPr="0043047F">
        <w:rPr>
          <w:rFonts w:ascii="Arial Narrow" w:eastAsia="Arial Narrow" w:hAnsi="Arial Narrow" w:cs="Arial Narrow"/>
          <w:sz w:val="16"/>
          <w:szCs w:val="16"/>
          <w:lang w:val="lv-LV"/>
        </w:rPr>
        <w:t>20</w:t>
      </w:r>
      <w:r w:rsidR="00A67A0C">
        <w:rPr>
          <w:rFonts w:ascii="Arial Narrow" w:eastAsia="Arial Narrow" w:hAnsi="Arial Narrow" w:cs="Arial Narrow"/>
          <w:sz w:val="16"/>
          <w:szCs w:val="16"/>
          <w:lang w:val="lv-LV"/>
        </w:rPr>
        <w:t>21</w:t>
      </w:r>
      <w:r w:rsidRPr="0043047F">
        <w:rPr>
          <w:rFonts w:ascii="Arial Narrow" w:eastAsia="Arial Narrow" w:hAnsi="Arial Narrow" w:cs="Arial Narrow"/>
          <w:sz w:val="16"/>
          <w:szCs w:val="16"/>
          <w:lang w:val="lv-LV"/>
        </w:rPr>
        <w:t xml:space="preserve">. gadā Sabiedrība ir parakstījusi aizdevuma </w:t>
      </w:r>
      <w:r w:rsidRPr="0043047F">
        <w:rPr>
          <w:rFonts w:ascii="Arial Narrow" w:eastAsia="Arial Narrow" w:hAnsi="Arial Narrow" w:cs="Arial Narrow"/>
          <w:sz w:val="16"/>
          <w:szCs w:val="16"/>
          <w:lang w:val="lv-LV"/>
        </w:rPr>
        <w:t>līgumu ar Mātes uzņēmumu Eleving Stella AS Saskaņā ar šī līguma nosacījumiem abām pusēm ir iespēja vienoties par elastīgu aizdevuma izmaksu un tā atmaksas nosacījumiem. Maksimālais aizdevuma apjoms ir 17,64 miljoni EUR ar dzēšanas termiņu 13.10.2026 un fik</w:t>
      </w:r>
      <w:r w:rsidRPr="0043047F">
        <w:rPr>
          <w:rFonts w:ascii="Arial Narrow" w:eastAsia="Arial Narrow" w:hAnsi="Arial Narrow" w:cs="Arial Narrow"/>
          <w:sz w:val="16"/>
          <w:szCs w:val="16"/>
          <w:lang w:val="lv-LV"/>
        </w:rPr>
        <w:t>sēto procentu likmi 12,0%.</w:t>
      </w:r>
    </w:p>
    <w:p w:rsidR="0043047F" w:rsidRPr="007C4032" w:rsidP="007C4032" w14:paraId="40016FBC" w14:textId="7C893301">
      <w:pPr>
        <w:pStyle w:val="ListParagraph"/>
        <w:numPr>
          <w:ilvl w:val="0"/>
          <w:numId w:val="2"/>
        </w:numPr>
        <w:spacing w:after="0" w:line="360" w:lineRule="auto"/>
        <w:jc w:val="both"/>
        <w:rPr>
          <w:rFonts w:ascii="Arial Narrow" w:eastAsia="Arial Narrow" w:hAnsi="Arial Narrow" w:cs="Arial Narrow"/>
          <w:sz w:val="16"/>
          <w:szCs w:val="16"/>
          <w:lang w:val="lv-LV"/>
        </w:rPr>
      </w:pPr>
      <w:r w:rsidRPr="0043047F">
        <w:rPr>
          <w:rFonts w:ascii="Arial Narrow" w:eastAsia="Arial Narrow" w:hAnsi="Arial Narrow" w:cs="Arial Narrow"/>
          <w:sz w:val="16"/>
          <w:szCs w:val="16"/>
          <w:lang w:val="lv-LV"/>
        </w:rPr>
        <w:t>2020.</w:t>
      </w:r>
      <w:r w:rsidR="00A67A0C">
        <w:rPr>
          <w:rFonts w:ascii="Arial Narrow" w:eastAsia="Arial Narrow" w:hAnsi="Arial Narrow" w:cs="Arial Narrow"/>
          <w:sz w:val="16"/>
          <w:szCs w:val="16"/>
          <w:lang w:val="lv-LV"/>
        </w:rPr>
        <w:t xml:space="preserve"> gadā</w:t>
      </w:r>
      <w:r w:rsidRPr="0043047F">
        <w:rPr>
          <w:rFonts w:ascii="Arial Narrow" w:eastAsia="Arial Narrow" w:hAnsi="Arial Narrow" w:cs="Arial Narrow"/>
          <w:sz w:val="16"/>
          <w:szCs w:val="16"/>
          <w:lang w:val="lv-LV"/>
        </w:rPr>
        <w:t xml:space="preserve"> Koncerns parakstīja aizdevuma līgumu ar AS “</w:t>
      </w:r>
      <w:r w:rsidRPr="002471BD">
        <w:rPr>
          <w:rFonts w:ascii="Arial Narrow" w:eastAsia="Arial Narrow" w:hAnsi="Arial Narrow" w:cs="Arial Narrow"/>
          <w:sz w:val="16"/>
          <w:szCs w:val="16"/>
          <w:lang w:val="lv-LV"/>
        </w:rPr>
        <w:t>Eleving Vehicle Finance</w:t>
      </w:r>
      <w:r w:rsidRPr="0043047F">
        <w:rPr>
          <w:rFonts w:ascii="Arial Narrow" w:eastAsia="Arial Narrow" w:hAnsi="Arial Narrow" w:cs="Arial Narrow"/>
          <w:sz w:val="16"/>
          <w:szCs w:val="16"/>
          <w:lang w:val="lv-LV"/>
        </w:rPr>
        <w:t>” par kredītlīniju 15 miljonu eiro apmērā ar dzēšanas termiņu 24.09.2024</w:t>
      </w:r>
      <w:r>
        <w:rPr>
          <w:rFonts w:ascii="Arial Narrow" w:eastAsia="Arial Narrow" w:hAnsi="Arial Narrow" w:cs="Arial Narrow"/>
          <w:sz w:val="16"/>
          <w:szCs w:val="16"/>
          <w:lang w:val="lv-LV"/>
        </w:rPr>
        <w:t xml:space="preserve"> </w:t>
      </w:r>
      <w:r w:rsidRPr="0043047F">
        <w:rPr>
          <w:rFonts w:ascii="Arial Narrow" w:eastAsia="Arial Narrow" w:hAnsi="Arial Narrow" w:cs="Arial Narrow"/>
          <w:sz w:val="16"/>
          <w:szCs w:val="16"/>
          <w:lang w:val="lv-LV"/>
        </w:rPr>
        <w:t>un fiksētu procentu likmi 12,5%. Aizdevums nav nodrošināts ar ķīlu.</w:t>
      </w:r>
    </w:p>
    <w:p w:rsidR="00473ECE" w:rsidRPr="007C4032" w:rsidP="00473ECE" w14:paraId="21372DDB" w14:textId="77777777">
      <w:pPr>
        <w:spacing w:after="0" w:line="360" w:lineRule="auto"/>
        <w:jc w:val="both"/>
        <w:rPr>
          <w:rFonts w:ascii="Arial Narrow" w:eastAsia="Arial Narrow" w:hAnsi="Arial Narrow" w:cs="Arial Narrow"/>
          <w:sz w:val="16"/>
          <w:szCs w:val="16"/>
          <w:lang w:val="lv-LV"/>
        </w:rPr>
      </w:pPr>
    </w:p>
    <w:p w:rsidR="00CB401E" w:rsidRPr="007C4032" w:rsidP="00473ECE" w14:textId="327A846E">
      <w:pPr>
        <w:spacing w:after="0" w:line="360" w:lineRule="auto"/>
        <w:jc w:val="both"/>
        <w:rPr>
          <w:rFonts w:ascii="Arial Narrow" w:eastAsia="Arial Narrow" w:hAnsi="Arial Narrow" w:cs="Arial Narrow"/>
          <w:sz w:val="16"/>
          <w:szCs w:val="16"/>
          <w:lang w:val="lv-LV"/>
        </w:rPr>
      </w:pPr>
      <w:r w:rsidRPr="007C4032">
        <w:rPr>
          <w:rFonts w:ascii="Arial Narrow" w:eastAsia="Arial Narrow" w:hAnsi="Arial Narrow" w:cs="Arial Narrow"/>
          <w:sz w:val="16"/>
          <w:szCs w:val="16"/>
          <w:lang w:val="lv-LV"/>
        </w:rPr>
        <w:t>Debitoru parādu</w:t>
      </w:r>
      <w:r w:rsidRPr="007C4032">
        <w:rPr>
          <w:rFonts w:ascii="Arial Narrow" w:eastAsia="Arial Narrow" w:hAnsi="Arial Narrow" w:cs="Arial Narrow"/>
          <w:sz w:val="16"/>
          <w:szCs w:val="16"/>
          <w:lang w:val="lv-LV"/>
        </w:rPr>
        <w:t xml:space="preserve"> un ar tiem saistīto ECL uzkrājumu analīze gada beigās ir šāda:</w:t>
      </w:r>
    </w:p>
    <w:tbl>
      <w:tblPr>
        <w:tblStyle w:val="CDMRange2"/>
        <w:tblW w:w="9600" w:type="dxa"/>
        <w:tblLayout w:type="fixed"/>
        <w:tblLook w:val="0600"/>
      </w:tblPr>
      <w:tblGrid>
        <w:gridCol w:w="4200"/>
        <w:gridCol w:w="900"/>
        <w:gridCol w:w="900"/>
        <w:gridCol w:w="900"/>
        <w:gridCol w:w="900"/>
        <w:gridCol w:w="900"/>
        <w:gridCol w:w="900"/>
      </w:tblGrid>
      <w:tr>
        <w:tblPrEx>
          <w:tblW w:w="9600" w:type="dxa"/>
          <w:tblLayout w:type="fixed"/>
          <w:tblLook w:val="0600"/>
        </w:tblPrEx>
        <w:trPr>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2021</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stadija</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stadija</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 stadija</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0"/>
        </w:trPr>
        <w:tc>
          <w:tcPr>
            <w:tcW w:w="42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parāds par aizdevumu Mātes kompānijai</w:t>
            </w: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700,000</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700,000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0"/>
        </w:trPr>
        <w:tc>
          <w:tcPr>
            <w:tcW w:w="42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Loan receivable from related companies</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34,401,118</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34,401,118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2020</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stadija</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stadija</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 stadija</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parāds par aizdevumu Mātes kompānijai</w:t>
            </w: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23,419,566</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23,419,566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Loan receivable from related companies</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center"/>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5,159,729</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5,159,729</w:t>
            </w:r>
          </w:p>
        </w:tc>
      </w:tr>
    </w:tbl>
    <w:p w:rsidR="004477E6" w:rsidRPr="00014631" w:rsidP="00014631" w14:paraId="0752645E" w14:textId="77777777">
      <w:pPr>
        <w:spacing w:after="0" w:line="360" w:lineRule="auto"/>
        <w:jc w:val="both"/>
        <w:rPr>
          <w:rFonts w:ascii="Arial Narrow" w:eastAsia="Arial Narrow" w:hAnsi="Arial Narrow" w:cs="Arial Narrow"/>
          <w:sz w:val="16"/>
          <w:szCs w:val="16"/>
        </w:rPr>
      </w:pPr>
      <w:bookmarkStart w:id="1222" w:name="RG_MARKER_6664"/>
      <w:r w:rsidRPr="00014631">
        <w:rPr>
          <w:rFonts w:ascii="Arial Narrow" w:eastAsia="Arial Narrow" w:hAnsi="Arial Narrow" w:cs="Arial Narrow"/>
          <w:sz w:val="16"/>
          <w:szCs w:val="16"/>
        </w:rPr>
        <w:t>"Radniecīgo sabiedrību debitoru parādi par aizņēmumiem ir pakļauti Koncerna kredītriskam. Tāpēc ir izmantots salīdzinošs PD rādītājs, kas balstīts uz Standard &amp; Poor's korporatīvās statistikas izpēti. LGD rādītājs ir noteikts, izvērtējot saistītās puses fi</w:t>
      </w:r>
      <w:bookmarkEnd w:id="1222"/>
      <w:r w:rsidRPr="00014631">
        <w:rPr>
          <w:rFonts w:ascii="Arial Narrow" w:eastAsia="Arial Narrow" w:hAnsi="Arial Narrow" w:cs="Arial Narrow"/>
          <w:sz w:val="16"/>
          <w:szCs w:val="16"/>
        </w:rPr>
        <w:t>nanšu stāvokli.</w:t>
      </w:r>
    </w:p>
    <w:p w:rsidR="004477E6" w:rsidRPr="00681A2F" w:rsidP="00014631" w14:paraId="1BB36663" w14:textId="6DA63201">
      <w:pPr>
        <w:spacing w:after="0" w:line="360" w:lineRule="auto"/>
        <w:jc w:val="both"/>
        <w:rPr>
          <w:rFonts w:ascii="Arial Narrow" w:eastAsia="Arial Narrow" w:hAnsi="Arial Narrow" w:cs="Arial Narrow"/>
          <w:color w:val="000000" w:themeColor="text1"/>
          <w:sz w:val="16"/>
          <w:szCs w:val="16"/>
        </w:rPr>
      </w:pPr>
      <w:r w:rsidRPr="00681A2F">
        <w:rPr>
          <w:rFonts w:ascii="Arial Narrow" w:eastAsia="Arial Narrow" w:hAnsi="Arial Narrow" w:cs="Arial Narrow"/>
          <w:color w:val="000000" w:themeColor="text1"/>
          <w:sz w:val="16"/>
          <w:szCs w:val="16"/>
        </w:rPr>
        <w:t xml:space="preserve">Saistītās puses debitoru parādam par izsniegtu aizdevumu nav </w:t>
      </w:r>
      <w:r w:rsidRPr="00681A2F">
        <w:rPr>
          <w:rFonts w:ascii="Arial Narrow" w:eastAsia="Arial Narrow" w:hAnsi="Arial Narrow" w:cs="Arial Narrow"/>
          <w:color w:val="000000" w:themeColor="text1"/>
          <w:sz w:val="16"/>
          <w:szCs w:val="16"/>
        </w:rPr>
        <w:t>atzīti</w:t>
      </w:r>
      <w:r w:rsidRPr="00681A2F">
        <w:rPr>
          <w:rFonts w:ascii="Arial Narrow" w:eastAsia="Arial Narrow" w:hAnsi="Arial Narrow" w:cs="Arial Narrow"/>
          <w:color w:val="000000" w:themeColor="text1"/>
          <w:sz w:val="16"/>
          <w:szCs w:val="16"/>
        </w:rPr>
        <w:t xml:space="preserve"> ECL (2020</w:t>
      </w:r>
      <w:r w:rsidRPr="00681A2F">
        <w:rPr>
          <w:rFonts w:ascii="Arial Narrow" w:eastAsia="Arial Narrow" w:hAnsi="Arial Narrow" w:cs="Arial Narrow"/>
          <w:color w:val="000000" w:themeColor="text1"/>
          <w:sz w:val="16"/>
          <w:szCs w:val="16"/>
        </w:rPr>
        <w:t xml:space="preserve">. gadā: EUR 0). </w:t>
      </w:r>
    </w:p>
    <w:p w:rsidR="004477E6" w:rsidP="004477E6" w14:paraId="2F174357" w14:textId="77777777">
      <w:pPr>
        <w:rPr>
          <w:rFonts w:ascii="Arial Narrow" w:eastAsia="Arial Narrow" w:hAnsi="Arial Narrow" w:cs="Arial Narrow"/>
          <w:b/>
          <w:bCs/>
          <w:sz w:val="14"/>
          <w:szCs w:val="14"/>
        </w:rPr>
        <w:sectPr w:rsidSect="009F7F22">
          <w:headerReference w:type="even" r:id="rId192"/>
          <w:headerReference w:type="default" r:id="rId193"/>
          <w:footerReference w:type="even" r:id="rId194"/>
          <w:footerReference w:type="default" r:id="rId195"/>
          <w:headerReference w:type="first" r:id="rId196"/>
          <w:footerReference w:type="first" r:id="rId197"/>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p>
    <w:p w:rsidR="00CB401E" w:rsidRPr="004477E6" w:rsidP="004477E6" w14:textId="186D2AFF">
      <w:pPr>
        <w:rPr>
          <w:rFonts w:ascii="Arial Narrow" w:eastAsia="Arial Narrow" w:hAnsi="Arial Narrow" w:cs="Arial Narrow"/>
          <w:b/>
          <w:bCs/>
        </w:rPr>
      </w:pPr>
      <w:r w:rsidRPr="004477E6">
        <w:rPr>
          <w:rFonts w:ascii="Arial Narrow" w:eastAsia="Arial Narrow" w:hAnsi="Arial Narrow" w:cs="Arial Narrow"/>
          <w:b/>
          <w:bCs/>
          <w:sz w:val="14"/>
          <w:szCs w:val="14"/>
        </w:rPr>
        <w:t>36. Darījumi ar saistītām sabiedrībām (turpinājums)</w:t>
      </w:r>
    </w:p>
    <w:tbl>
      <w:tblPr>
        <w:tblStyle w:val="CDMRange1"/>
        <w:tblW w:w="9600" w:type="dxa"/>
        <w:tblLayout w:type="fixed"/>
        <w:tblLook w:val="0600"/>
      </w:tblPr>
      <w:tblGrid>
        <w:gridCol w:w="5100"/>
        <w:gridCol w:w="900"/>
        <w:gridCol w:w="900"/>
        <w:gridCol w:w="900"/>
        <w:gridCol w:w="900"/>
        <w:gridCol w:w="900"/>
      </w:tblGrid>
      <w:tr>
        <w:tblPrEx>
          <w:tblW w:w="9600" w:type="dxa"/>
          <w:tblLayout w:type="fixed"/>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Īstermiņa</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parādi no AS "Eleving Stella"</w:t>
            </w: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175</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parādi no cesijas saistītajām pusēm</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1,121,470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465,168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Debitoru parādi no saistītajām pusēm</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258,646</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77,769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1,380,291</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542,937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2700" w:type="dxa"/>
            <w:gridSpan w:val="3"/>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DEBITORI:</w:t>
            </w:r>
          </w:p>
        </w:tc>
        <w:tc>
          <w:tcPr>
            <w:tcW w:w="900" w:type="dxa"/>
            <w:tcBorders>
              <w:top w:val="double" w:sz="6"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36,481,409</w:t>
            </w:r>
          </w:p>
        </w:tc>
        <w:tc>
          <w:tcPr>
            <w:tcW w:w="900" w:type="dxa"/>
            <w:tcBorders>
              <w:top w:val="double" w:sz="6"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29,122,232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Saistīto personu debitoru parādu iedalījums pēc vecuma struktūras ir aprakstīts 23. piezīmē.</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0"/>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Parādi un pārējie kreditoru parādi  radniecīgajām sabiedrībām</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Pārējie kreditoru parādi AS "Primero Finance" (skatīt 34. piezīmi)</w:t>
            </w: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305,856</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315,566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Parādi citām radniecīgajām sabiedrībām</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5,344</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311,200</w:t>
            </w:r>
          </w:p>
        </w:tc>
        <w:tc>
          <w:tcPr>
            <w:tcW w:w="900" w:type="dxa"/>
            <w:tcBorders>
              <w:top w:val="single" w:sz="4" w:space="0" w:color="000000"/>
              <w:left w:val="nil"/>
              <w:bottom w:val="double" w:sz="6" w:space="0" w:color="000000"/>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315,566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51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double" w:sz="6"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r>
    </w:tbl>
    <w:p/>
    <w:tbl>
      <w:tblPr>
        <w:tblStyle w:val="CDMRange2"/>
        <w:tblW w:w="9600" w:type="dxa"/>
        <w:tblLayout w:type="fixed"/>
        <w:tblLook w:val="0600"/>
      </w:tblPr>
      <w:tblGrid>
        <w:gridCol w:w="6900"/>
        <w:gridCol w:w="900"/>
        <w:gridCol w:w="900"/>
        <w:gridCol w:w="900"/>
      </w:tblGrid>
      <w:tr>
        <w:tblPrEx>
          <w:tblW w:w="9600" w:type="dxa"/>
          <w:tblLayout w:type="fixed"/>
          <w:tblLook w:val="0600"/>
        </w:tblPrEx>
        <w:trPr>
          <w:trHeight w:hRule="exact" w:val="240"/>
        </w:trPr>
        <w:tc>
          <w:tcPr>
            <w:tcW w:w="6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37. Citi ieguldījumi</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6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Īpatsvars</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Ieguldījumi Mogo IFN (Rumānija)</w:t>
            </w:r>
          </w:p>
        </w:tc>
        <w:tc>
          <w:tcPr>
            <w:tcW w:w="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0.01%</w:t>
            </w:r>
          </w:p>
        </w:tc>
        <w:tc>
          <w:tcPr>
            <w:tcW w:w="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w:t>
            </w:r>
          </w:p>
        </w:tc>
        <w:tc>
          <w:tcPr>
            <w:tcW w:w="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40"/>
        </w:trPr>
        <w:tc>
          <w:tcPr>
            <w:tcW w:w="6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Ieguldījumi LLC Mogo Belarus</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0.01%</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40"/>
        </w:trPr>
        <w:tc>
          <w:tcPr>
            <w:tcW w:w="6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900" w:type="dxa"/>
            <w:tcBorders>
              <w:top w:val="single" w:sz="4" w:space="0" w:color="000000"/>
              <w:left w:val="nil"/>
              <w:bottom w:val="double" w:sz="6"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w:t>
            </w:r>
          </w:p>
        </w:tc>
        <w:tc>
          <w:tcPr>
            <w:tcW w:w="900" w:type="dxa"/>
            <w:tcBorders>
              <w:top w:val="single" w:sz="4" w:space="0" w:color="000000"/>
              <w:left w:val="nil"/>
              <w:bottom w:val="double" w:sz="6"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26</w:t>
            </w:r>
          </w:p>
        </w:tc>
      </w:tr>
    </w:tbl>
    <w:p/>
    <w:p w:rsidR="009E28A3" w:rsidRPr="006D6B3C" w:rsidP="006D6B3C" w14:paraId="5C680A66" w14:textId="65F2A48B">
      <w:pPr>
        <w:spacing w:after="0" w:line="360" w:lineRule="auto"/>
        <w:jc w:val="both"/>
        <w:rPr>
          <w:rFonts w:ascii="Arial Narrow" w:eastAsia="Arial Narrow" w:hAnsi="Arial Narrow" w:cs="Arial Narrow"/>
          <w:sz w:val="16"/>
          <w:szCs w:val="16"/>
        </w:rPr>
      </w:pPr>
      <w:bookmarkStart w:id="1223" w:name="RG_MARKER_6666"/>
      <w:bookmarkStart w:id="1224" w:name="RG_MARKER_6586"/>
      <w:r w:rsidRPr="006D6B3C">
        <w:rPr>
          <w:rFonts w:ascii="Arial Narrow" w:eastAsia="Arial Narrow" w:hAnsi="Arial Narrow" w:cs="Arial Narrow"/>
          <w:sz w:val="16"/>
          <w:szCs w:val="16"/>
        </w:rPr>
        <w:t xml:space="preserve">Ieguldījumi sabiedrību kapitālos ir klasificēti un novērtēti kā patiesajā vērtībā novērtēti pašu kapitāla instrumenti ar atspoguļojumu pārējos apvienotajos ienākumos. Ieguldījumus sabiedrību kapitālos Koncerns ir izvēlējies neatgriezeniski </w:t>
      </w:r>
      <w:bookmarkEnd w:id="1224"/>
      <w:bookmarkEnd w:id="1223"/>
      <w:r w:rsidRPr="006D6B3C">
        <w:rPr>
          <w:rFonts w:ascii="Arial Narrow" w:eastAsia="Arial Narrow" w:hAnsi="Arial Narrow" w:cs="Arial Narrow"/>
          <w:sz w:val="16"/>
          <w:szCs w:val="16"/>
        </w:rPr>
        <w:t>klasificēt šajā kategorijā, jo tam ir nodoms turēt šos ieguldījumus pārredzamā nākotnē.</w:t>
      </w:r>
    </w:p>
    <w:p w:rsidR="00AD74EE" w:rsidRPr="00554924" w:rsidP="00FE2B21" w14:paraId="07271D52" w14:textId="0650915B">
      <w:pPr>
        <w:pageBreakBefore/>
        <w:spacing w:after="0" w:line="360" w:lineRule="auto"/>
        <w:jc w:val="both"/>
        <w:rPr>
          <w:rFonts w:ascii="Arial Narrow" w:eastAsia="Arial Narrow" w:hAnsi="Arial Narrow" w:cs="Arial Narrow"/>
          <w:sz w:val="16"/>
          <w:szCs w:val="16"/>
          <w:lang w:val="lv-LV"/>
        </w:rPr>
      </w:pPr>
      <w:bookmarkStart w:id="1225" w:name="RG_MARKER_6667"/>
      <w:bookmarkStart w:id="1226" w:name="RG_MARKER_6456"/>
      <w:r w:rsidRPr="00554924">
        <w:rPr>
          <w:rFonts w:ascii="Arial Narrow" w:eastAsia="Arial Narrow" w:hAnsi="Arial Narrow" w:cs="Arial Narrow"/>
          <w:b/>
          <w:bCs/>
          <w:sz w:val="16"/>
          <w:szCs w:val="16"/>
          <w:lang w:val="lv-LV"/>
        </w:rPr>
        <w:t>38</w:t>
      </w:r>
      <w:r w:rsidRPr="00554924">
        <w:rPr>
          <w:rFonts w:ascii="Arial Narrow" w:eastAsia="Arial Narrow" w:hAnsi="Arial Narrow" w:cs="Arial Narrow"/>
          <w:b/>
          <w:bCs/>
          <w:sz w:val="16"/>
          <w:szCs w:val="16"/>
          <w:lang w:val="lv-LV"/>
        </w:rPr>
        <w:t>. Saistības un ārpusbilances posteņi</w:t>
      </w:r>
      <w:bookmarkEnd w:id="1226"/>
      <w:bookmarkEnd w:id="1225"/>
    </w:p>
    <w:p w:rsidR="00FE2B21" w:rsidRPr="00554924" w:rsidP="00FE2B21" w14:paraId="3CFC8AF2" w14:textId="2EE99EC8">
      <w:pPr>
        <w:spacing w:after="0" w:line="360" w:lineRule="auto"/>
        <w:jc w:val="both"/>
        <w:rPr>
          <w:rFonts w:ascii="Arial Narrow" w:eastAsia="Arial Narrow" w:hAnsi="Arial Narrow" w:cs="Arial Narrow"/>
          <w:sz w:val="16"/>
          <w:szCs w:val="16"/>
          <w:lang w:val="lv-LV"/>
        </w:rPr>
      </w:pPr>
    </w:p>
    <w:p w:rsidR="005C49F6" w:rsidRPr="00554924" w:rsidP="005C49F6" w14:paraId="62284BFE" w14:textId="7C25026F">
      <w:pPr>
        <w:spacing w:after="0" w:line="360" w:lineRule="auto"/>
        <w:jc w:val="both"/>
        <w:rPr>
          <w:rFonts w:ascii="Arial Narrow" w:eastAsia="Arial Narrow" w:hAnsi="Arial Narrow" w:cs="Arial Narrow"/>
          <w:sz w:val="16"/>
          <w:szCs w:val="16"/>
          <w:lang w:val="lv-LV"/>
        </w:rPr>
      </w:pPr>
      <w:r w:rsidRPr="00554924">
        <w:rPr>
          <w:rFonts w:ascii="Arial Narrow" w:eastAsia="Arial Narrow" w:hAnsi="Arial Narrow" w:cs="Arial Narrow"/>
          <w:sz w:val="16"/>
          <w:szCs w:val="16"/>
          <w:lang w:val="lv-LV"/>
        </w:rPr>
        <w:t>Sākot ar 2021. gada 14. oktobri, Eleving Group un dažas no tās meitas sabiedrībam (tostarp Mogo AS) noslēdza vairākus ķīlas līgumus ar TMF Trustee Services GmbH</w:t>
      </w:r>
      <w:r w:rsidRPr="00554924">
        <w:rPr>
          <w:rFonts w:ascii="Arial Narrow" w:eastAsia="Arial Narrow" w:hAnsi="Arial Narrow" w:cs="Arial Narrow"/>
          <w:sz w:val="16"/>
          <w:szCs w:val="16"/>
          <w:lang w:val="lv-LV"/>
        </w:rPr>
        <w:t xml:space="preserve">, nosakot ķīlu pār šo meitas sabiedrību akcijām, ķīlu par šo meitas sabiedrību esošajiem un turpmākajiem aizdevuma parādiem, ķīlu par preču zīmēm no šīm meitas sabiedrībām, vispārējā biznesa ķīla pār šīm meitas sabiedrībām, ieķīlāt primāros bankas kontus, </w:t>
      </w:r>
      <w:r w:rsidRPr="00554924">
        <w:rPr>
          <w:rFonts w:ascii="Arial Narrow" w:eastAsia="Arial Narrow" w:hAnsi="Arial Narrow" w:cs="Arial Narrow"/>
          <w:sz w:val="16"/>
          <w:szCs w:val="16"/>
          <w:lang w:val="lv-LV"/>
        </w:rPr>
        <w:t xml:space="preserve">ja iespējams, lai nodrošinātu Eleving grupas saistības pret obligāciju turētājiem, kas izriet no Eleving grupas obligācijām (ISIN: XS2393240887). Saskaņā ar ar TMF Trustee Services GmbH noslēgto komercķīlas līgumu ieķīlāto aktīvu vērtība uz 2021. gada 31. </w:t>
      </w:r>
      <w:r w:rsidRPr="00554924">
        <w:rPr>
          <w:rFonts w:ascii="Arial Narrow" w:eastAsia="Arial Narrow" w:hAnsi="Arial Narrow" w:cs="Arial Narrow"/>
          <w:sz w:val="16"/>
          <w:szCs w:val="16"/>
          <w:lang w:val="lv-LV"/>
        </w:rPr>
        <w:t>decembri ir 53,2 miljoni EUR.</w:t>
      </w:r>
    </w:p>
    <w:p w:rsidR="005C49F6" w:rsidRPr="00554924" w:rsidP="005C49F6" w14:paraId="3EF82B83" w14:textId="77777777">
      <w:pPr>
        <w:spacing w:after="0" w:line="360" w:lineRule="auto"/>
        <w:jc w:val="both"/>
        <w:rPr>
          <w:rFonts w:ascii="Arial Narrow" w:eastAsia="Arial Narrow" w:hAnsi="Arial Narrow" w:cs="Arial Narrow"/>
          <w:sz w:val="16"/>
          <w:szCs w:val="16"/>
          <w:lang w:val="lv-LV"/>
        </w:rPr>
      </w:pPr>
    </w:p>
    <w:p w:rsidR="005C49F6" w:rsidRPr="00554924" w:rsidP="005C49F6" w14:paraId="03777A26" w14:textId="704BA146">
      <w:pPr>
        <w:spacing w:after="0" w:line="360" w:lineRule="auto"/>
        <w:jc w:val="both"/>
        <w:rPr>
          <w:rFonts w:ascii="Arial Narrow" w:eastAsia="Arial Narrow" w:hAnsi="Arial Narrow" w:cs="Arial Narrow"/>
          <w:sz w:val="16"/>
          <w:szCs w:val="16"/>
          <w:lang w:val="lv-LV"/>
        </w:rPr>
      </w:pPr>
      <w:r w:rsidRPr="00554924">
        <w:rPr>
          <w:rFonts w:ascii="Arial Narrow" w:eastAsia="Arial Narrow" w:hAnsi="Arial Narrow" w:cs="Arial Narrow"/>
          <w:sz w:val="16"/>
          <w:szCs w:val="16"/>
          <w:lang w:val="lv-LV"/>
        </w:rPr>
        <w:t>Sākot ar 2018. gada 14. gadu, Eleving Group S.A. kā emitents un tā meitas sabiedrības (tostarp Mogo JSC) kā galvotāji ir noslēguši garantijas līgumu 2021. gada 14. oktobrī (kas laiku pa laikam tiek grozīts un pārtaisīts), sas</w:t>
      </w:r>
      <w:r w:rsidRPr="00554924">
        <w:rPr>
          <w:rFonts w:ascii="Arial Narrow" w:eastAsia="Arial Narrow" w:hAnsi="Arial Narrow" w:cs="Arial Narrow"/>
          <w:sz w:val="16"/>
          <w:szCs w:val="16"/>
          <w:lang w:val="lv-LV"/>
        </w:rPr>
        <w:t>kaņā ar kuru galvotāji bez nosacījumiem un neatsaucami garantē neatkarīgas maksājumu saistības pienākumu pret katru Eleving Groupe S.A. obligāciju (ISIN: XS2393240887) turētāju, lai veiktu noteiktu un precīzu Eleving Group S.A. obligāciju (ISIN: XS23932408</w:t>
      </w:r>
      <w:r w:rsidRPr="00554924">
        <w:rPr>
          <w:rFonts w:ascii="Arial Narrow" w:eastAsia="Arial Narrow" w:hAnsi="Arial Narrow" w:cs="Arial Narrow"/>
          <w:sz w:val="16"/>
          <w:szCs w:val="16"/>
          <w:lang w:val="lv-LV"/>
        </w:rPr>
        <w:t xml:space="preserve">87) pamatsummas, procentu un citu summu samaksu kā noteikts obligāciju prospektos </w:t>
      </w:r>
      <w:r w:rsidRPr="00554924">
        <w:rPr>
          <w:rFonts w:ascii="Arial Narrow" w:eastAsia="Arial Narrow" w:hAnsi="Arial Narrow" w:cs="Arial Narrow"/>
          <w:sz w:val="16"/>
          <w:szCs w:val="16"/>
          <w:lang w:val="lv-LV"/>
        </w:rPr>
        <w:t>(</w:t>
      </w:r>
      <w:r w:rsidRPr="00554924">
        <w:rPr>
          <w:rFonts w:ascii="Arial Narrow" w:eastAsia="Arial Narrow" w:hAnsi="Arial Narrow" w:cs="Arial Narrow"/>
          <w:sz w:val="16"/>
          <w:szCs w:val="16"/>
          <w:lang w:val="lv-LV"/>
        </w:rPr>
        <w:t>39</w:t>
      </w:r>
      <w:r w:rsidRPr="00554924">
        <w:rPr>
          <w:rFonts w:ascii="Arial Narrow" w:eastAsia="Arial Narrow" w:hAnsi="Arial Narrow" w:cs="Arial Narrow"/>
          <w:sz w:val="16"/>
          <w:szCs w:val="16"/>
          <w:lang w:val="lv-LV"/>
        </w:rPr>
        <w:t>. piezīme).</w:t>
      </w:r>
    </w:p>
    <w:p w:rsidR="005C49F6" w:rsidRPr="00554924" w:rsidP="005C49F6" w14:paraId="2076F131" w14:textId="77777777">
      <w:pPr>
        <w:spacing w:after="0" w:line="360" w:lineRule="auto"/>
        <w:jc w:val="both"/>
        <w:rPr>
          <w:rFonts w:ascii="Arial Narrow" w:eastAsia="Arial Narrow" w:hAnsi="Arial Narrow" w:cs="Arial Narrow"/>
          <w:sz w:val="16"/>
          <w:szCs w:val="16"/>
          <w:lang w:val="lv-LV"/>
        </w:rPr>
      </w:pPr>
    </w:p>
    <w:p w:rsidR="005C49F6" w:rsidRPr="00554924" w:rsidP="005C49F6" w14:paraId="1FB3762F" w14:textId="684EAF49">
      <w:pPr>
        <w:spacing w:after="0" w:line="360" w:lineRule="auto"/>
        <w:jc w:val="both"/>
        <w:rPr>
          <w:rFonts w:ascii="Arial Narrow" w:eastAsia="Arial Narrow" w:hAnsi="Arial Narrow" w:cs="Arial Narrow"/>
          <w:sz w:val="16"/>
          <w:szCs w:val="16"/>
          <w:lang w:val="lv-LV"/>
        </w:rPr>
      </w:pPr>
      <w:r w:rsidRPr="00554924">
        <w:rPr>
          <w:rFonts w:ascii="Arial Narrow" w:eastAsia="Arial Narrow" w:hAnsi="Arial Narrow" w:cs="Arial Narrow"/>
          <w:sz w:val="16"/>
          <w:szCs w:val="16"/>
          <w:lang w:val="lv-LV"/>
        </w:rPr>
        <w:t xml:space="preserve">2018. gada 26. februārī Sabiedrība noslēdza galvojuma līgumu ar Ardshinbank CJSC un Mogo LLC, lai nodrošinātu Mogo LLC saistības pret Ardshinbank CJSC, </w:t>
      </w:r>
      <w:r w:rsidRPr="00554924">
        <w:rPr>
          <w:rFonts w:ascii="Arial Narrow" w:eastAsia="Arial Narrow" w:hAnsi="Arial Narrow" w:cs="Arial Narrow"/>
          <w:sz w:val="16"/>
          <w:szCs w:val="16"/>
          <w:lang w:val="lv-LV"/>
        </w:rPr>
        <w:t>kas izriet no aizdevuma līguma, kas 2018. gada 26. februārī noslēgts starp Ardshinbank CJSC un Mogo LLC. Galvojuma līguma maksimālais saistību apjoms nepārsniedz aizdevuma pamatsummu EUR 1 000 000.</w:t>
      </w:r>
    </w:p>
    <w:p w:rsidR="005C49F6" w:rsidRPr="007E7986" w:rsidP="005C49F6" w14:paraId="2DA78320" w14:textId="70045B7D">
      <w:pPr>
        <w:spacing w:after="0" w:line="360" w:lineRule="auto"/>
        <w:jc w:val="both"/>
        <w:rPr>
          <w:rFonts w:ascii="Arial Narrow" w:eastAsia="Arial Narrow" w:hAnsi="Arial Narrow" w:cs="Arial Narrow"/>
          <w:sz w:val="16"/>
          <w:szCs w:val="16"/>
          <w:lang w:val="lv-LV"/>
        </w:rPr>
      </w:pPr>
      <w:r w:rsidRPr="007E7986">
        <w:rPr>
          <w:rFonts w:ascii="Arial Narrow" w:eastAsia="Arial Narrow" w:hAnsi="Arial Narrow" w:cs="Arial Narrow"/>
          <w:sz w:val="16"/>
          <w:szCs w:val="16"/>
          <w:lang w:val="lv-LV"/>
        </w:rPr>
        <w:t xml:space="preserve">Kā aprakstīts </w:t>
      </w:r>
      <w:r w:rsidRPr="007E7986" w:rsidR="000021E1">
        <w:rPr>
          <w:rFonts w:ascii="Arial Narrow" w:eastAsia="Arial Narrow" w:hAnsi="Arial Narrow" w:cs="Arial Narrow"/>
          <w:sz w:val="16"/>
          <w:szCs w:val="16"/>
          <w:lang w:val="lv-LV"/>
        </w:rPr>
        <w:t>39</w:t>
      </w:r>
      <w:r w:rsidRPr="007E7986">
        <w:rPr>
          <w:rFonts w:ascii="Arial Narrow" w:eastAsia="Arial Narrow" w:hAnsi="Arial Narrow" w:cs="Arial Narrow"/>
          <w:sz w:val="16"/>
          <w:szCs w:val="16"/>
          <w:lang w:val="lv-LV"/>
        </w:rPr>
        <w:t>.piezīmē</w:t>
      </w:r>
      <w:r w:rsidRPr="007E7986">
        <w:rPr>
          <w:rFonts w:ascii="Arial Narrow" w:eastAsia="Arial Narrow" w:hAnsi="Arial Narrow" w:cs="Arial Narrow"/>
          <w:sz w:val="16"/>
          <w:szCs w:val="16"/>
          <w:lang w:val="lv-LV"/>
        </w:rPr>
        <w:t>, galvojuma līgums ir pagari</w:t>
      </w:r>
      <w:r w:rsidRPr="007E7986">
        <w:rPr>
          <w:rFonts w:ascii="Arial Narrow" w:eastAsia="Arial Narrow" w:hAnsi="Arial Narrow" w:cs="Arial Narrow"/>
          <w:sz w:val="16"/>
          <w:szCs w:val="16"/>
          <w:lang w:val="lv-LV"/>
        </w:rPr>
        <w:t>nāts līdz 202</w:t>
      </w:r>
      <w:r>
        <w:rPr>
          <w:rFonts w:ascii="Arial Narrow" w:eastAsia="Arial Narrow" w:hAnsi="Arial Narrow" w:cs="Arial Narrow"/>
          <w:sz w:val="16"/>
          <w:szCs w:val="16"/>
          <w:lang w:val="lv-LV"/>
        </w:rPr>
        <w:t>2</w:t>
      </w:r>
      <w:r w:rsidRPr="007E7986">
        <w:rPr>
          <w:rFonts w:ascii="Arial Narrow" w:eastAsia="Arial Narrow" w:hAnsi="Arial Narrow" w:cs="Arial Narrow"/>
          <w:sz w:val="16"/>
          <w:szCs w:val="16"/>
          <w:lang w:val="lv-LV"/>
        </w:rPr>
        <w:t>. gadam.</w:t>
      </w:r>
    </w:p>
    <w:p w:rsidR="005C49F6" w:rsidRPr="00554924" w:rsidP="005C49F6" w14:paraId="53A1049C" w14:textId="77777777">
      <w:pPr>
        <w:spacing w:after="0" w:line="360" w:lineRule="auto"/>
        <w:jc w:val="both"/>
        <w:rPr>
          <w:rFonts w:ascii="Arial Narrow" w:eastAsia="Arial Narrow" w:hAnsi="Arial Narrow" w:cs="Arial Narrow"/>
          <w:sz w:val="16"/>
          <w:szCs w:val="16"/>
          <w:lang w:val="lv-LV"/>
        </w:rPr>
      </w:pPr>
    </w:p>
    <w:p w:rsidR="005C49F6" w:rsidRPr="00554924" w:rsidP="005C49F6" w14:paraId="4E1FA105" w14:textId="2EC4E34E">
      <w:pPr>
        <w:spacing w:after="0" w:line="360" w:lineRule="auto"/>
        <w:jc w:val="both"/>
        <w:rPr>
          <w:rFonts w:ascii="Arial Narrow" w:eastAsia="Arial Narrow" w:hAnsi="Arial Narrow" w:cs="Arial Narrow"/>
          <w:sz w:val="16"/>
          <w:szCs w:val="16"/>
          <w:lang w:val="lv-LV"/>
        </w:rPr>
      </w:pPr>
      <w:r w:rsidRPr="00554924">
        <w:rPr>
          <w:rFonts w:ascii="Arial Narrow" w:eastAsia="Arial Narrow" w:hAnsi="Arial Narrow" w:cs="Arial Narrow"/>
          <w:sz w:val="16"/>
          <w:szCs w:val="16"/>
          <w:lang w:val="lv-LV"/>
        </w:rPr>
        <w:t>2018. gada 11. decembrī mogo</w:t>
      </w:r>
      <w:r w:rsidRPr="00554924">
        <w:rPr>
          <w:rFonts w:ascii="Arial Narrow" w:eastAsia="Arial Narrow" w:hAnsi="Arial Narrow" w:cs="Arial Narrow"/>
          <w:sz w:val="16"/>
          <w:szCs w:val="16"/>
          <w:lang w:val="lv-LV"/>
        </w:rPr>
        <w:t xml:space="preserve"> AS izdeva maksājuma garantiju Nr.2018.12.05 par labu trešajai pusei, kurā maksimālās saistības nepārsniedza EUR 200 000, kuras ietvaros mogo AS saistības ir ierobežotas apmērā, kas nepārsniedz citas meitas sabiedrības </w:t>
      </w:r>
      <w:bookmarkStart w:id="1227" w:name="XBRL_CS_ea74ff389bb04c31a661abaeb97c4e9f"/>
      <w:r w:rsidRPr="00386375">
        <w:rPr>
          <w:rFonts w:ascii="Arial Narrow" w:eastAsia="Arial Narrow" w:hAnsi="Arial Narrow" w:cs="Arial Narrow"/>
          <w:sz w:val="16"/>
          <w:szCs w:val="16"/>
          <w:lang w:val="lv-LV"/>
        </w:rPr>
        <w:t>Eleving Luna AS</w:t>
      </w:r>
      <w:bookmarkStart w:id="1228" w:name="XBRL_CE_ea74ff389bb04c31a661abaeb97c4e9f"/>
      <w:bookmarkEnd w:id="1227"/>
      <w:bookmarkEnd w:id="1228"/>
      <w:r w:rsidRPr="00554924">
        <w:rPr>
          <w:rFonts w:ascii="Arial Narrow" w:eastAsia="Arial Narrow" w:hAnsi="Arial Narrow" w:cs="Arial Narrow"/>
          <w:sz w:val="16"/>
          <w:szCs w:val="16"/>
          <w:lang w:val="lv-LV"/>
        </w:rPr>
        <w:t xml:space="preserve"> saistību izpildi sask</w:t>
      </w:r>
      <w:r w:rsidRPr="00554924">
        <w:rPr>
          <w:rFonts w:ascii="Arial Narrow" w:eastAsia="Arial Narrow" w:hAnsi="Arial Narrow" w:cs="Arial Narrow"/>
          <w:sz w:val="16"/>
          <w:szCs w:val="16"/>
          <w:lang w:val="lv-LV"/>
        </w:rPr>
        <w:t>aņā ar nodrošināto līgumu ar šo pusi.</w:t>
      </w:r>
    </w:p>
    <w:p w:rsidR="00554924" w:rsidRPr="00554924" w:rsidP="005C49F6" w14:paraId="5250F243" w14:textId="066AE6C2">
      <w:pPr>
        <w:spacing w:after="0" w:line="360" w:lineRule="auto"/>
        <w:jc w:val="both"/>
        <w:rPr>
          <w:rFonts w:ascii="Arial Narrow" w:eastAsia="Arial Narrow" w:hAnsi="Arial Narrow" w:cs="Arial Narrow"/>
          <w:sz w:val="16"/>
          <w:szCs w:val="16"/>
          <w:lang w:val="lv-LV"/>
        </w:rPr>
      </w:pPr>
    </w:p>
    <w:p w:rsidR="00554924" w:rsidRPr="00554924" w:rsidP="005C49F6" w14:paraId="4E2361F7" w14:textId="5E9DF7A2">
      <w:pPr>
        <w:spacing w:after="0" w:line="360" w:lineRule="auto"/>
        <w:jc w:val="both"/>
        <w:rPr>
          <w:rFonts w:ascii="Arial Narrow" w:eastAsia="Arial Narrow" w:hAnsi="Arial Narrow" w:cs="Arial Narrow"/>
          <w:sz w:val="16"/>
          <w:szCs w:val="16"/>
          <w:lang w:val="lv-LV"/>
        </w:rPr>
      </w:pPr>
      <w:r w:rsidRPr="00554924">
        <w:rPr>
          <w:rFonts w:ascii="Arial Narrow" w:eastAsia="Arial Narrow" w:hAnsi="Arial Narrow" w:cs="Arial Narrow"/>
          <w:sz w:val="16"/>
          <w:szCs w:val="16"/>
          <w:lang w:val="lv-LV"/>
        </w:rPr>
        <w:t>2019. gada 31. jūlijā AS “mogo” noslēdza komercķīlas līgumu (ar periodiskiem grozījumiem) ar AS “Citadele banka”, saskaņā ar kuru atsevišķi AS “mogo” debitoru parādi tiek ieķīlāti par labu AS “Citadele banka”, nodroši</w:t>
      </w:r>
      <w:r w:rsidRPr="00554924">
        <w:rPr>
          <w:rFonts w:ascii="Arial Narrow" w:eastAsia="Arial Narrow" w:hAnsi="Arial Narrow" w:cs="Arial Narrow"/>
          <w:sz w:val="16"/>
          <w:szCs w:val="16"/>
          <w:lang w:val="lv-LV"/>
        </w:rPr>
        <w:t xml:space="preserve">not AS “mogo”, “mogo” OU un UAB “mogo LT” saistības pret AS “Citadele banka”, kas izriet no 2019. gada 8. jūlijā noslēgtā kredītlīnijas līguma (ar periodiskiem grozījumiem). </w:t>
      </w:r>
      <w:r w:rsidRPr="007E7986">
        <w:rPr>
          <w:rFonts w:ascii="Arial Narrow" w:eastAsia="Arial Narrow" w:hAnsi="Arial Narrow" w:cs="Arial Narrow"/>
          <w:sz w:val="16"/>
          <w:szCs w:val="16"/>
          <w:lang w:val="lv-LV"/>
        </w:rPr>
        <w:t>Tādus pašus Komercķīlas līgumus ir noslēgušas pārējās Kredītlīnijas līguma puses -</w:t>
      </w:r>
      <w:r w:rsidRPr="007E7986">
        <w:rPr>
          <w:rFonts w:ascii="Arial Narrow" w:eastAsia="Arial Narrow" w:hAnsi="Arial Narrow" w:cs="Arial Narrow"/>
          <w:sz w:val="16"/>
          <w:szCs w:val="16"/>
          <w:lang w:val="lv-LV"/>
        </w:rPr>
        <w:t xml:space="preserve"> “mogo” OU (Igaunija) un AS “mogo LT” (Lietuva). 2021. gada 23. decembrī AS „Renti” (Latvija) un 2022. gada 18. janvārī AS „Renti LT” (Lietuva) ir noslēgušas Komercķīlas līgumus ar AS „Citadele banka” saskaņā ar kuru atsevišķi debitoru parādi tiek ieķīlāti</w:t>
      </w:r>
      <w:r w:rsidRPr="007E7986">
        <w:rPr>
          <w:rFonts w:ascii="Arial Narrow" w:eastAsia="Arial Narrow" w:hAnsi="Arial Narrow" w:cs="Arial Narrow"/>
          <w:sz w:val="16"/>
          <w:szCs w:val="16"/>
          <w:lang w:val="lv-LV"/>
        </w:rPr>
        <w:t xml:space="preserve"> par labu AS “Citadele banka”, lai nodrošinātu AS „Mogo”. , “mogo” OU un AS “mogo LT” saistības, ja kredītlīnija tiek izmantota arī AS Renti (Latvija) un AS Renti LT (Lietuva) izsniegto kredītu un debitoru parādu finansēšanai. Komercķīlas devēji ir solidār</w:t>
      </w:r>
      <w:r w:rsidRPr="007E7986">
        <w:rPr>
          <w:rFonts w:ascii="Arial Narrow" w:eastAsia="Arial Narrow" w:hAnsi="Arial Narrow" w:cs="Arial Narrow"/>
          <w:sz w:val="16"/>
          <w:szCs w:val="16"/>
          <w:lang w:val="lv-LV"/>
        </w:rPr>
        <w:t>i atbildīgi par maksimālo summu 22,5 miljoni eiro, taču komercķīlas līgumā minēto prasījumu tiesības ir mainīgas, jo pusēm piešķirtās Kredītlīnijas summas nedrīkst pārsniegt 90% no kopējās Bankai ieķīlātās komercķīlas summas.</w:t>
      </w:r>
      <w:r>
        <w:rPr>
          <w:rFonts w:ascii="Arial Narrow" w:eastAsia="Arial Narrow" w:hAnsi="Arial Narrow" w:cs="Arial Narrow"/>
          <w:sz w:val="16"/>
          <w:szCs w:val="16"/>
          <w:lang w:val="lv-LV"/>
        </w:rPr>
        <w:t xml:space="preserve"> </w:t>
      </w:r>
      <w:r w:rsidRPr="00554924">
        <w:rPr>
          <w:rFonts w:ascii="Arial Narrow" w:eastAsia="Arial Narrow" w:hAnsi="Arial Narrow" w:cs="Arial Narrow"/>
          <w:sz w:val="16"/>
          <w:szCs w:val="16"/>
          <w:lang w:val="lv-LV"/>
        </w:rPr>
        <w:t>2021. gada 31. decembrī daļa n</w:t>
      </w:r>
      <w:r w:rsidRPr="00554924">
        <w:rPr>
          <w:rFonts w:ascii="Arial Narrow" w:eastAsia="Arial Narrow" w:hAnsi="Arial Narrow" w:cs="Arial Narrow"/>
          <w:sz w:val="16"/>
          <w:szCs w:val="16"/>
          <w:lang w:val="lv-LV"/>
        </w:rPr>
        <w:t>o bruto finanšu nomas portfeļa 0,8 miljonu eiro apmērā tika ieķīlāta par labu AS “Citadele banka” kā nodrošinājums izsniegtajai kredītlīnijai (2020. gada 31. decembrī: 1,3 miljoni eiro).</w:t>
      </w:r>
    </w:p>
    <w:p w:rsidR="005C49F6" w:rsidRPr="00554924" w:rsidP="005C49F6" w14:paraId="447ED131" w14:textId="77777777">
      <w:pPr>
        <w:spacing w:after="0" w:line="360" w:lineRule="auto"/>
        <w:jc w:val="both"/>
        <w:rPr>
          <w:rFonts w:ascii="Arial Narrow" w:eastAsia="Arial Narrow" w:hAnsi="Arial Narrow" w:cs="Arial Narrow"/>
          <w:sz w:val="16"/>
          <w:szCs w:val="16"/>
          <w:lang w:val="lv-LV"/>
        </w:rPr>
      </w:pPr>
    </w:p>
    <w:p w:rsidR="005C49F6" w:rsidRPr="007E7986" w:rsidP="005C49F6" w14:paraId="4A15CEED" w14:textId="2452C6CD">
      <w:pPr>
        <w:spacing w:after="0" w:line="360" w:lineRule="auto"/>
        <w:jc w:val="both"/>
        <w:rPr>
          <w:rFonts w:ascii="Arial Narrow" w:eastAsia="Arial Narrow" w:hAnsi="Arial Narrow" w:cs="Arial Narrow"/>
          <w:sz w:val="16"/>
          <w:szCs w:val="16"/>
          <w:lang w:val="lv-LV"/>
        </w:rPr>
      </w:pPr>
      <w:r w:rsidRPr="007E7986">
        <w:rPr>
          <w:rFonts w:ascii="Arial Narrow" w:eastAsia="Arial Narrow" w:hAnsi="Arial Narrow" w:cs="Arial Narrow"/>
          <w:sz w:val="16"/>
          <w:szCs w:val="16"/>
          <w:lang w:val="lv-LV"/>
        </w:rPr>
        <w:t>Kredītlīnijas līguma nosacījumi ir mainīti pēc pārskata perioda beig</w:t>
      </w:r>
      <w:r w:rsidRPr="007E7986">
        <w:rPr>
          <w:rFonts w:ascii="Arial Narrow" w:eastAsia="Arial Narrow" w:hAnsi="Arial Narrow" w:cs="Arial Narrow"/>
          <w:sz w:val="16"/>
          <w:szCs w:val="16"/>
          <w:lang w:val="lv-LV"/>
        </w:rPr>
        <w:t>u datuma.</w:t>
      </w:r>
    </w:p>
    <w:p w:rsidR="00554924" w:rsidRPr="00554924" w:rsidP="005C49F6" w14:paraId="5FDD7EBD" w14:textId="77777777">
      <w:pPr>
        <w:spacing w:after="0" w:line="360" w:lineRule="auto"/>
        <w:jc w:val="both"/>
        <w:rPr>
          <w:rFonts w:ascii="Arial Narrow" w:eastAsia="Arial Narrow" w:hAnsi="Arial Narrow" w:cs="Arial Narrow"/>
          <w:sz w:val="16"/>
          <w:szCs w:val="16"/>
          <w:lang w:val="lv-LV"/>
        </w:rPr>
      </w:pPr>
    </w:p>
    <w:p w:rsidR="005C49F6" w:rsidRPr="00554924" w:rsidP="005C49F6" w14:paraId="226E9136" w14:textId="332C36EB">
      <w:pPr>
        <w:spacing w:after="0" w:line="360" w:lineRule="auto"/>
        <w:jc w:val="both"/>
        <w:rPr>
          <w:rFonts w:ascii="Arial Narrow" w:eastAsia="Arial Narrow" w:hAnsi="Arial Narrow" w:cs="Arial Narrow"/>
          <w:sz w:val="16"/>
          <w:szCs w:val="16"/>
          <w:lang w:val="lv-LV"/>
        </w:rPr>
      </w:pPr>
      <w:r w:rsidRPr="00554924">
        <w:rPr>
          <w:rFonts w:ascii="Arial Narrow" w:eastAsia="Arial Narrow" w:hAnsi="Arial Narrow" w:cs="Arial Narrow"/>
          <w:sz w:val="16"/>
          <w:szCs w:val="16"/>
          <w:lang w:val="lv-LV"/>
        </w:rPr>
        <w:t>2017. gada 5. decembrī Sabiedrība noslēdza komercķīlas līgumu ar "Mintos Finance Estonia" OU, lai nodrošinātu Sabiedrības saistības pret "Mintos Finance Estonia" OU, kas radušās no sadarbības līguma aizdevumu izsniegšanā Nr. 36/2017-L, kas noslē</w:t>
      </w:r>
      <w:r w:rsidRPr="00554924">
        <w:rPr>
          <w:rFonts w:ascii="Arial Narrow" w:eastAsia="Arial Narrow" w:hAnsi="Arial Narrow" w:cs="Arial Narrow"/>
          <w:sz w:val="16"/>
          <w:szCs w:val="16"/>
          <w:lang w:val="lv-LV"/>
        </w:rPr>
        <w:t xml:space="preserve">gts 2017. gada 5. decembrī. 31.12.2021. Sabiedrība ir ieķīlājusi bruto debitoru parādus EUR </w:t>
      </w:r>
      <w:r>
        <w:rPr>
          <w:rFonts w:ascii="Arial Narrow" w:eastAsia="Arial Narrow" w:hAnsi="Arial Narrow" w:cs="Arial Narrow"/>
          <w:sz w:val="16"/>
          <w:szCs w:val="16"/>
          <w:lang w:val="lv-LV"/>
        </w:rPr>
        <w:t>5 796 426</w:t>
      </w:r>
      <w:r w:rsidRPr="00554924">
        <w:rPr>
          <w:rFonts w:ascii="Arial Narrow" w:eastAsia="Arial Narrow" w:hAnsi="Arial Narrow" w:cs="Arial Narrow"/>
          <w:sz w:val="16"/>
          <w:szCs w:val="16"/>
          <w:lang w:val="lv-LV"/>
        </w:rPr>
        <w:t xml:space="preserve"> (31.12.2020.: 7 279 306 EUR).</w:t>
      </w:r>
      <w:r w:rsidRPr="00554924">
        <w:rPr>
          <w:rFonts w:ascii="Arial Narrow" w:eastAsia="Arial Narrow" w:hAnsi="Arial Narrow" w:cs="Arial Narrow"/>
          <w:sz w:val="16"/>
          <w:szCs w:val="16"/>
          <w:lang w:val="lv-LV"/>
        </w:rPr>
        <w:tab/>
      </w:r>
    </w:p>
    <w:p w:rsidR="00554924" w:rsidRPr="00554924" w:rsidP="005C49F6" w14:paraId="1791260D" w14:textId="77777777">
      <w:pPr>
        <w:spacing w:after="0" w:line="360" w:lineRule="auto"/>
        <w:jc w:val="both"/>
        <w:rPr>
          <w:rFonts w:ascii="Arial Narrow" w:eastAsia="Arial Narrow" w:hAnsi="Arial Narrow" w:cs="Arial Narrow"/>
          <w:sz w:val="16"/>
          <w:szCs w:val="16"/>
          <w:lang w:val="lv-LV"/>
        </w:rPr>
      </w:pPr>
    </w:p>
    <w:p w:rsidR="005C49F6" w:rsidRPr="00554924" w:rsidP="005C49F6" w14:paraId="63A7FF57" w14:textId="22FA55B5">
      <w:pPr>
        <w:spacing w:after="0" w:line="360" w:lineRule="auto"/>
        <w:jc w:val="both"/>
        <w:rPr>
          <w:rFonts w:ascii="Arial Narrow" w:eastAsia="Arial Narrow" w:hAnsi="Arial Narrow" w:cs="Arial Narrow"/>
          <w:sz w:val="16"/>
          <w:szCs w:val="16"/>
          <w:lang w:val="lv-LV"/>
        </w:rPr>
      </w:pPr>
      <w:r w:rsidRPr="00554924">
        <w:rPr>
          <w:rFonts w:ascii="Arial Narrow" w:eastAsia="Arial Narrow" w:hAnsi="Arial Narrow" w:cs="Arial Narrow"/>
          <w:sz w:val="16"/>
          <w:szCs w:val="16"/>
          <w:lang w:val="lv-LV"/>
        </w:rPr>
        <w:t>2018. gada 12. decembrī Sabiedrība izsniedza garantijas vēstules par labu SIA Skanste City (iepriekš AS SWH Grupa), lai no</w:t>
      </w:r>
      <w:r w:rsidRPr="00554924">
        <w:rPr>
          <w:rFonts w:ascii="Arial Narrow" w:eastAsia="Arial Narrow" w:hAnsi="Arial Narrow" w:cs="Arial Narrow"/>
          <w:sz w:val="16"/>
          <w:szCs w:val="16"/>
          <w:lang w:val="lv-LV"/>
        </w:rPr>
        <w:t xml:space="preserve">drošinātu citas meitas sabiedrības Eleving Vehicle Finance AS (iepriekš AS Mogo Group), kas izriet nodrošinātiem biroju telpu nomas līgumiem, kas noslēgti 2018. gada 12. decembrī. Šajās garantijas vēstulēs Sabiedrība ir apņēmusies izpildīt Eleving Vehicle </w:t>
      </w:r>
      <w:r w:rsidRPr="00554924">
        <w:rPr>
          <w:rFonts w:ascii="Arial Narrow" w:eastAsia="Arial Narrow" w:hAnsi="Arial Narrow" w:cs="Arial Narrow"/>
          <w:sz w:val="16"/>
          <w:szCs w:val="16"/>
          <w:lang w:val="lv-LV"/>
        </w:rPr>
        <w:t>Finance AS saistības pret SIA Skanste City, ja šīs meitas sabiedrības kavēsies pildīt savas saistības līgumos noteiktajos termiņos. Garantijas zaudē spēku, ja nomas līgumos tiek izdarīti grozījumi vai tie tiek pārjaunoti bez Sabiedrības iepriekšējas raksti</w:t>
      </w:r>
      <w:r w:rsidRPr="00554924">
        <w:rPr>
          <w:rFonts w:ascii="Arial Narrow" w:eastAsia="Arial Narrow" w:hAnsi="Arial Narrow" w:cs="Arial Narrow"/>
          <w:sz w:val="16"/>
          <w:szCs w:val="16"/>
          <w:lang w:val="lv-LV"/>
        </w:rPr>
        <w:t>skas piekrišanas un ir spēkā visu attiecīgo nomas līgumu termiņu. 2020. gada sākumā abos nomas līgumos tika veiktas izmaiņas un Sabiedrība izsniedza jaunu garantiju, kas nodrošina tikai Eleving Vehicle Finance AS saistības.</w:t>
      </w:r>
    </w:p>
    <w:p w:rsidR="00FE2B21" w:rsidRPr="00554924" w:rsidP="00FE2B21" w14:paraId="3750160D" w14:textId="77777777">
      <w:pPr>
        <w:spacing w:after="0" w:line="360" w:lineRule="auto"/>
        <w:jc w:val="both"/>
        <w:rPr>
          <w:rFonts w:ascii="Arial Narrow" w:eastAsia="Arial Narrow" w:hAnsi="Arial Narrow" w:cs="Arial Narrow"/>
          <w:sz w:val="16"/>
          <w:szCs w:val="16"/>
          <w:lang w:val="lv-LV"/>
        </w:rPr>
      </w:pPr>
    </w:p>
    <w:p w:rsidR="00AD74EE" w:rsidRPr="00554924" w:rsidP="00FE2B21" w14:paraId="475D2645" w14:textId="77777777">
      <w:pPr>
        <w:spacing w:after="0" w:line="360" w:lineRule="auto"/>
        <w:jc w:val="both"/>
        <w:rPr>
          <w:rFonts w:ascii="Arial Narrow" w:eastAsia="Arial Narrow" w:hAnsi="Arial Narrow" w:cs="Arial Narrow"/>
          <w:b/>
          <w:bCs/>
          <w:sz w:val="16"/>
          <w:szCs w:val="16"/>
          <w:lang w:val="lv-LV"/>
        </w:rPr>
        <w:sectPr w:rsidSect="004477E6">
          <w:headerReference w:type="even" r:id="rId198"/>
          <w:headerReference w:type="default" r:id="rId199"/>
          <w:footerReference w:type="even" r:id="rId200"/>
          <w:footerReference w:type="default" r:id="rId201"/>
          <w:headerReference w:type="first" r:id="rId202"/>
          <w:footerReference w:type="first" r:id="rId203"/>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p>
    <w:p w:rsidR="00AD74EE" w:rsidRPr="00554924" w:rsidP="00FE2B21" w14:paraId="2396A14B" w14:textId="23179431">
      <w:pPr>
        <w:spacing w:after="0" w:line="360" w:lineRule="auto"/>
        <w:jc w:val="both"/>
        <w:rPr>
          <w:rFonts w:ascii="Arial Narrow" w:eastAsia="Arial Narrow" w:hAnsi="Arial Narrow" w:cs="Arial Narrow"/>
          <w:sz w:val="16"/>
          <w:szCs w:val="16"/>
          <w:lang w:val="lv-LV"/>
        </w:rPr>
      </w:pPr>
      <w:r w:rsidRPr="00554924">
        <w:rPr>
          <w:rFonts w:ascii="Arial Narrow" w:eastAsia="Arial Narrow" w:hAnsi="Arial Narrow" w:cs="Arial Narrow"/>
          <w:b/>
          <w:bCs/>
          <w:sz w:val="16"/>
          <w:szCs w:val="16"/>
          <w:lang w:val="lv-LV"/>
        </w:rPr>
        <w:t>38</w:t>
      </w:r>
      <w:r w:rsidRPr="00554924">
        <w:rPr>
          <w:rFonts w:ascii="Arial Narrow" w:eastAsia="Arial Narrow" w:hAnsi="Arial Narrow" w:cs="Arial Narrow"/>
          <w:b/>
          <w:bCs/>
          <w:sz w:val="16"/>
          <w:szCs w:val="16"/>
          <w:lang w:val="lv-LV"/>
        </w:rPr>
        <w:t>. Saist</w:t>
      </w:r>
      <w:r w:rsidRPr="00554924">
        <w:rPr>
          <w:rFonts w:ascii="Arial Narrow" w:eastAsia="Arial Narrow" w:hAnsi="Arial Narrow" w:cs="Arial Narrow"/>
          <w:b/>
          <w:bCs/>
          <w:sz w:val="16"/>
          <w:szCs w:val="16"/>
          <w:lang w:val="lv-LV"/>
        </w:rPr>
        <w:t>ības un ārpusbilances posteņi (turpinājums)</w:t>
      </w:r>
    </w:p>
    <w:p w:rsidR="00AD74EE" w:rsidRPr="00554924" w:rsidP="00FE2B21" w14:paraId="785F5D34" w14:textId="77777777">
      <w:pPr>
        <w:spacing w:after="0" w:line="360" w:lineRule="auto"/>
        <w:jc w:val="both"/>
        <w:rPr>
          <w:rFonts w:ascii="Arial Narrow" w:eastAsia="Arial Narrow" w:hAnsi="Arial Narrow" w:cs="Arial Narrow"/>
          <w:sz w:val="16"/>
          <w:szCs w:val="16"/>
          <w:lang w:val="lv-LV"/>
        </w:rPr>
      </w:pPr>
    </w:p>
    <w:p w:rsidR="00AD74EE" w:rsidRPr="00554924" w:rsidP="00FE2B21" w14:paraId="2AEFEF50" w14:textId="02AF32D8">
      <w:pPr>
        <w:spacing w:after="0" w:line="360" w:lineRule="auto"/>
        <w:jc w:val="both"/>
        <w:rPr>
          <w:rFonts w:ascii="Arial Narrow" w:eastAsia="Arial Narrow" w:hAnsi="Arial Narrow" w:cs="Arial Narrow"/>
          <w:b/>
          <w:bCs/>
          <w:sz w:val="16"/>
          <w:szCs w:val="16"/>
          <w:lang w:val="lv-LV"/>
        </w:rPr>
      </w:pPr>
      <w:r w:rsidRPr="00554924">
        <w:rPr>
          <w:rFonts w:ascii="Arial Narrow" w:eastAsia="Arial Narrow" w:hAnsi="Arial Narrow" w:cs="Arial Narrow"/>
          <w:b/>
          <w:bCs/>
          <w:sz w:val="16"/>
          <w:szCs w:val="16"/>
          <w:lang w:val="lv-LV"/>
        </w:rPr>
        <w:t>Ārējas kapitāla prasības</w:t>
      </w:r>
    </w:p>
    <w:p w:rsidR="00FE2B21" w:rsidRPr="00554924" w:rsidP="00FE2B21" w14:paraId="2CAD9596" w14:textId="77777777">
      <w:pPr>
        <w:spacing w:after="0" w:line="360" w:lineRule="auto"/>
        <w:jc w:val="both"/>
        <w:rPr>
          <w:rFonts w:ascii="Arial Narrow" w:eastAsia="Arial Narrow" w:hAnsi="Arial Narrow" w:cs="Arial Narrow"/>
          <w:sz w:val="16"/>
          <w:szCs w:val="16"/>
          <w:lang w:val="lv-LV"/>
        </w:rPr>
      </w:pPr>
    </w:p>
    <w:p w:rsidR="00AD74EE" w:rsidRPr="00554924" w:rsidP="00FE2B21" w14:paraId="4CE8DEEF" w14:textId="6C12EA26">
      <w:pPr>
        <w:spacing w:after="0" w:line="360" w:lineRule="auto"/>
        <w:jc w:val="both"/>
        <w:rPr>
          <w:rFonts w:ascii="Arial Narrow" w:eastAsia="Arial Narrow" w:hAnsi="Arial Narrow" w:cs="Arial Narrow"/>
          <w:sz w:val="16"/>
          <w:szCs w:val="16"/>
          <w:lang w:val="lv-LV"/>
        </w:rPr>
      </w:pPr>
      <w:r w:rsidRPr="00554924">
        <w:rPr>
          <w:rFonts w:ascii="Arial Narrow" w:eastAsia="Arial Narrow" w:hAnsi="Arial Narrow" w:cs="Arial Narrow"/>
          <w:sz w:val="16"/>
          <w:szCs w:val="16"/>
          <w:lang w:val="lv-LV"/>
        </w:rPr>
        <w:t>Vispārējās kapitāla riska vadības stratēģijas ietvaros Koncerns izvērtē gan pašu kapitāla, gan aizņēmumu apjomu. Uz Koncernu attiecas ārējas kapitāla prasības</w:t>
      </w:r>
    </w:p>
    <w:p w:rsidR="0035517A" w:rsidRPr="00554924" w:rsidP="00FE2B21" w14:paraId="2D56EE9E" w14:textId="77777777">
      <w:pPr>
        <w:spacing w:after="0" w:line="360" w:lineRule="auto"/>
        <w:jc w:val="both"/>
        <w:rPr>
          <w:rFonts w:ascii="Arial Narrow" w:eastAsia="Arial Narrow" w:hAnsi="Arial Narrow" w:cs="Arial Narrow"/>
          <w:sz w:val="16"/>
          <w:szCs w:val="16"/>
          <w:lang w:val="lv-LV"/>
        </w:rPr>
      </w:pPr>
    </w:p>
    <w:p w:rsidR="00AD74EE" w:rsidRPr="00554924" w:rsidP="00FE2B21" w14:paraId="2924F4E4" w14:textId="6F8A727C">
      <w:pPr>
        <w:spacing w:after="0" w:line="360" w:lineRule="auto"/>
        <w:jc w:val="both"/>
        <w:rPr>
          <w:rFonts w:ascii="Arial Narrow" w:eastAsia="Arial Narrow" w:hAnsi="Arial Narrow" w:cs="Arial Narrow"/>
          <w:sz w:val="16"/>
          <w:szCs w:val="16"/>
          <w:lang w:val="lv-LV"/>
        </w:rPr>
      </w:pPr>
      <w:r w:rsidRPr="00554924">
        <w:rPr>
          <w:rFonts w:ascii="Arial Narrow" w:eastAsia="Arial Narrow" w:hAnsi="Arial Narrow" w:cs="Arial Narrow"/>
          <w:sz w:val="16"/>
          <w:szCs w:val="16"/>
          <w:lang w:val="lv-LV"/>
        </w:rPr>
        <w:t xml:space="preserve">Svarīgākās </w:t>
      </w:r>
      <w:r w:rsidRPr="00554924">
        <w:rPr>
          <w:rFonts w:ascii="Arial Narrow" w:eastAsia="Arial Narrow" w:hAnsi="Arial Narrow" w:cs="Arial Narrow"/>
          <w:sz w:val="16"/>
          <w:szCs w:val="16"/>
          <w:lang w:val="lv-LV"/>
        </w:rPr>
        <w:t>prasības ir šādas:</w:t>
      </w:r>
    </w:p>
    <w:p w:rsidR="00AD74EE" w:rsidRPr="00554924" w:rsidP="00FE2B21" w14:paraId="03366948" w14:textId="77777777">
      <w:pPr>
        <w:spacing w:after="0" w:line="360" w:lineRule="auto"/>
        <w:jc w:val="both"/>
        <w:rPr>
          <w:rFonts w:ascii="Arial Narrow" w:eastAsia="Arial Narrow" w:hAnsi="Arial Narrow" w:cs="Arial Narrow"/>
          <w:sz w:val="16"/>
          <w:szCs w:val="16"/>
          <w:lang w:val="lv-LV"/>
        </w:rPr>
      </w:pPr>
    </w:p>
    <w:p w:rsidR="00AD74EE" w:rsidRPr="00554924" w:rsidP="00FE2B21" w14:paraId="09D3A7C6" w14:textId="75904882">
      <w:pPr>
        <w:spacing w:after="0" w:line="360" w:lineRule="auto"/>
        <w:jc w:val="both"/>
        <w:rPr>
          <w:rFonts w:ascii="Arial Narrow" w:eastAsia="Arial Narrow" w:hAnsi="Arial Narrow" w:cs="Arial Narrow"/>
          <w:b/>
          <w:bCs/>
          <w:sz w:val="16"/>
          <w:szCs w:val="16"/>
          <w:lang w:val="lv-LV"/>
        </w:rPr>
      </w:pPr>
      <w:r w:rsidRPr="00554924">
        <w:rPr>
          <w:rFonts w:ascii="Arial Narrow" w:eastAsia="Arial Narrow" w:hAnsi="Arial Narrow" w:cs="Arial Narrow"/>
          <w:b/>
          <w:bCs/>
          <w:sz w:val="16"/>
          <w:szCs w:val="16"/>
          <w:lang w:val="lv-LV"/>
        </w:rPr>
        <w:t>AS “mogo” obligācijas</w:t>
      </w:r>
    </w:p>
    <w:p w:rsidR="00FE2B21" w:rsidRPr="00554924" w:rsidP="00FE2B21" w14:paraId="1BF14CB5" w14:textId="77777777">
      <w:pPr>
        <w:spacing w:after="0" w:line="360" w:lineRule="auto"/>
        <w:jc w:val="both"/>
        <w:rPr>
          <w:rFonts w:ascii="Arial Narrow" w:eastAsia="Arial Narrow" w:hAnsi="Arial Narrow" w:cs="Arial Narrow"/>
          <w:sz w:val="16"/>
          <w:szCs w:val="16"/>
          <w:lang w:val="lv-LV"/>
        </w:rPr>
      </w:pPr>
    </w:p>
    <w:p w:rsidR="00AD74EE" w:rsidRPr="00554924" w:rsidP="00FE2B21" w14:paraId="17D7FB59" w14:textId="23F4DB63">
      <w:pPr>
        <w:spacing w:after="0" w:line="360" w:lineRule="auto"/>
        <w:jc w:val="both"/>
        <w:rPr>
          <w:rFonts w:ascii="Arial Narrow" w:eastAsia="Arial Narrow" w:hAnsi="Arial Narrow" w:cs="Arial Narrow"/>
          <w:sz w:val="16"/>
          <w:szCs w:val="16"/>
          <w:lang w:val="lv-LV"/>
        </w:rPr>
      </w:pPr>
      <w:r w:rsidRPr="00554924">
        <w:rPr>
          <w:rFonts w:ascii="Arial Narrow" w:eastAsia="Arial Narrow" w:hAnsi="Arial Narrow" w:cs="Arial Narrow"/>
          <w:sz w:val="16"/>
          <w:szCs w:val="16"/>
          <w:lang w:val="lv-LV"/>
        </w:rPr>
        <w:t xml:space="preserve">Obligācijām, kas izsniegtas Nasdaq Baltic, prospektos ir paredzēti ierobežojumi (ISIN: </w:t>
      </w:r>
      <w:r w:rsidRPr="00554924" w:rsidR="0035517A">
        <w:rPr>
          <w:rFonts w:ascii="Arial Narrow" w:eastAsia="Arial Narrow" w:hAnsi="Arial Narrow" w:cs="Arial Narrow"/>
          <w:sz w:val="16"/>
          <w:szCs w:val="16"/>
          <w:lang w:val="lv-LV"/>
        </w:rPr>
        <w:t>LV0000802452</w:t>
      </w:r>
      <w:r w:rsidRPr="00554924">
        <w:rPr>
          <w:rFonts w:ascii="Arial Narrow" w:eastAsia="Arial Narrow" w:hAnsi="Arial Narrow" w:cs="Arial Narrow"/>
          <w:sz w:val="16"/>
          <w:szCs w:val="16"/>
          <w:lang w:val="lv-LV"/>
        </w:rPr>
        <w:t>)</w:t>
      </w:r>
    </w:p>
    <w:p w:rsidR="0035517A" w:rsidRPr="00554924" w:rsidP="00FE2B21" w14:paraId="5FAEE402" w14:textId="77777777">
      <w:pPr>
        <w:pStyle w:val="ListParagraph"/>
        <w:numPr>
          <w:ilvl w:val="0"/>
          <w:numId w:val="3"/>
        </w:numPr>
        <w:spacing w:after="0" w:line="360" w:lineRule="auto"/>
        <w:jc w:val="both"/>
        <w:rPr>
          <w:rFonts w:ascii="Arial Narrow" w:eastAsia="Arial Narrow" w:hAnsi="Arial Narrow" w:cs="Arial Narrow"/>
          <w:sz w:val="16"/>
          <w:szCs w:val="16"/>
          <w:lang w:val="lv-LV"/>
        </w:rPr>
      </w:pPr>
      <w:r w:rsidRPr="00554924">
        <w:rPr>
          <w:rFonts w:ascii="Arial Narrow" w:eastAsia="Arial Narrow" w:hAnsi="Arial Narrow" w:cs="Arial Narrow"/>
          <w:sz w:val="16"/>
          <w:szCs w:val="16"/>
          <w:lang w:val="lv-LV"/>
        </w:rPr>
        <w:t>Saglabāt pozitīvu pašu kapitālu visu laiku;</w:t>
      </w:r>
    </w:p>
    <w:p w:rsidR="0035517A" w:rsidRPr="00554924" w:rsidP="00FE2B21" w14:paraId="2B865984" w14:textId="636299A1">
      <w:pPr>
        <w:pStyle w:val="ListParagraph"/>
        <w:numPr>
          <w:ilvl w:val="0"/>
          <w:numId w:val="3"/>
        </w:numPr>
        <w:spacing w:after="0" w:line="360" w:lineRule="auto"/>
        <w:jc w:val="both"/>
        <w:rPr>
          <w:rFonts w:ascii="Arial Narrow" w:eastAsia="Arial Narrow" w:hAnsi="Arial Narrow" w:cs="Arial Narrow"/>
          <w:sz w:val="16"/>
          <w:szCs w:val="16"/>
          <w:lang w:val="lv-LV"/>
        </w:rPr>
      </w:pPr>
      <w:r w:rsidRPr="00554924">
        <w:rPr>
          <w:rFonts w:ascii="Arial Narrow" w:eastAsia="Arial Narrow" w:hAnsi="Arial Narrow" w:cs="Arial Narrow"/>
          <w:sz w:val="16"/>
          <w:szCs w:val="16"/>
          <w:lang w:val="lv-LV"/>
        </w:rPr>
        <w:t>Uzturēt kapitalizācijas koeficientu vismaz 15% apmērā līdz obligācij</w:t>
      </w:r>
      <w:r w:rsidRPr="00554924">
        <w:rPr>
          <w:rFonts w:ascii="Arial Narrow" w:eastAsia="Arial Narrow" w:hAnsi="Arial Narrow" w:cs="Arial Narrow"/>
          <w:sz w:val="16"/>
          <w:szCs w:val="16"/>
          <w:lang w:val="lv-LV"/>
        </w:rPr>
        <w:t>u pilnīgai atmaksai;</w:t>
      </w:r>
    </w:p>
    <w:p w:rsidR="0035517A" w:rsidRPr="00554924" w:rsidP="00FE2B21" w14:paraId="7406CED1" w14:textId="41EFE739">
      <w:pPr>
        <w:pStyle w:val="ListParagraph"/>
        <w:numPr>
          <w:ilvl w:val="0"/>
          <w:numId w:val="3"/>
        </w:numPr>
        <w:spacing w:after="0" w:line="360" w:lineRule="auto"/>
        <w:jc w:val="both"/>
        <w:rPr>
          <w:rFonts w:ascii="Arial Narrow" w:eastAsia="Arial Narrow" w:hAnsi="Arial Narrow" w:cs="Arial Narrow"/>
          <w:sz w:val="16"/>
          <w:szCs w:val="16"/>
          <w:lang w:val="lv-LV"/>
        </w:rPr>
      </w:pPr>
      <w:r w:rsidRPr="00554924">
        <w:rPr>
          <w:rFonts w:ascii="Arial Narrow" w:eastAsia="Arial Narrow" w:hAnsi="Arial Narrow" w:cs="Arial Narrow"/>
          <w:sz w:val="16"/>
          <w:szCs w:val="16"/>
          <w:lang w:val="lv-LV"/>
        </w:rPr>
        <w:t>Nodrošināt DSCR* rādītāju virs noteikta līmeņa.</w:t>
      </w:r>
    </w:p>
    <w:p w:rsidR="00AD74EE" w:rsidRPr="00554924" w:rsidP="00FE2B21" w14:paraId="109B8C70" w14:textId="1433279B">
      <w:pPr>
        <w:spacing w:after="0" w:line="360" w:lineRule="auto"/>
        <w:jc w:val="both"/>
        <w:rPr>
          <w:rFonts w:ascii="Arial Narrow" w:eastAsia="Arial Narrow" w:hAnsi="Arial Narrow" w:cs="Arial Narrow"/>
          <w:sz w:val="16"/>
          <w:szCs w:val="16"/>
          <w:lang w:val="lv-LV"/>
        </w:rPr>
      </w:pPr>
      <w:r w:rsidRPr="00554924">
        <w:rPr>
          <w:rFonts w:ascii="Arial Narrow" w:eastAsia="Arial Narrow" w:hAnsi="Arial Narrow" w:cs="Arial Narrow"/>
          <w:sz w:val="16"/>
          <w:szCs w:val="16"/>
          <w:lang w:val="lv-LV"/>
        </w:rPr>
        <w:t>Pārskata perioda laikā Koncerns ievēroja visas ārēji noteiktās kapitāla prasības.</w:t>
      </w:r>
    </w:p>
    <w:p w:rsidR="0035517A" w:rsidRPr="00554924" w:rsidP="00FE2B21" w14:paraId="098310C5" w14:textId="04271689">
      <w:pPr>
        <w:spacing w:after="0" w:line="360" w:lineRule="auto"/>
        <w:jc w:val="both"/>
        <w:rPr>
          <w:rFonts w:ascii="Arial Narrow" w:eastAsia="Arial Narrow" w:hAnsi="Arial Narrow" w:cs="Arial Narrow"/>
          <w:b/>
          <w:bCs/>
          <w:sz w:val="16"/>
          <w:szCs w:val="16"/>
          <w:lang w:val="lv-LV"/>
        </w:rPr>
      </w:pPr>
    </w:p>
    <w:p w:rsidR="0035517A" w:rsidRPr="00554924" w:rsidP="0035517A" w14:paraId="0CEF483A" w14:textId="6D058A5D">
      <w:pPr>
        <w:spacing w:after="0" w:line="360" w:lineRule="auto"/>
        <w:jc w:val="both"/>
        <w:rPr>
          <w:rFonts w:ascii="Arial Narrow" w:eastAsia="Arial Narrow" w:hAnsi="Arial Narrow" w:cs="Arial Narrow"/>
          <w:b/>
          <w:bCs/>
          <w:sz w:val="16"/>
          <w:szCs w:val="16"/>
          <w:lang w:val="lv-LV"/>
        </w:rPr>
      </w:pPr>
      <w:r w:rsidRPr="00554924">
        <w:rPr>
          <w:rFonts w:ascii="Arial Narrow" w:eastAsia="Arial Narrow" w:hAnsi="Arial Narrow" w:cs="Arial Narrow"/>
          <w:b/>
          <w:bCs/>
          <w:sz w:val="16"/>
          <w:szCs w:val="16"/>
          <w:lang w:val="lv-LV"/>
        </w:rPr>
        <w:t>AS “mogo” kredītlīnijas līgums ar AS Citadele banka</w:t>
      </w:r>
    </w:p>
    <w:p w:rsidR="0035517A" w:rsidRPr="00554924" w:rsidP="0035517A" w14:paraId="0405C93B" w14:textId="77777777">
      <w:pPr>
        <w:spacing w:after="0" w:line="360" w:lineRule="auto"/>
        <w:jc w:val="both"/>
        <w:rPr>
          <w:rFonts w:ascii="Arial Narrow" w:eastAsia="Arial Narrow" w:hAnsi="Arial Narrow" w:cs="Arial Narrow"/>
          <w:b/>
          <w:bCs/>
          <w:sz w:val="16"/>
          <w:szCs w:val="16"/>
          <w:lang w:val="lv-LV"/>
        </w:rPr>
      </w:pPr>
    </w:p>
    <w:p w:rsidR="0035517A" w:rsidRPr="00554924" w:rsidP="0035517A" w14:paraId="662BF2B1" w14:textId="77777777">
      <w:pPr>
        <w:pStyle w:val="ListParagraph"/>
        <w:numPr>
          <w:ilvl w:val="0"/>
          <w:numId w:val="4"/>
        </w:numPr>
        <w:spacing w:after="0" w:line="360" w:lineRule="auto"/>
        <w:jc w:val="both"/>
        <w:rPr>
          <w:rFonts w:ascii="Arial Narrow" w:eastAsia="Arial Narrow" w:hAnsi="Arial Narrow" w:cs="Arial Narrow"/>
          <w:sz w:val="16"/>
          <w:szCs w:val="16"/>
          <w:lang w:val="lv-LV"/>
        </w:rPr>
      </w:pPr>
      <w:r w:rsidRPr="00554924">
        <w:rPr>
          <w:rFonts w:ascii="Arial Narrow" w:eastAsia="Arial Narrow" w:hAnsi="Arial Narrow" w:cs="Arial Narrow"/>
          <w:sz w:val="16"/>
          <w:szCs w:val="16"/>
          <w:lang w:val="lv-LV"/>
        </w:rPr>
        <w:t>Uzturēt kapitalizācijas koeficientu vismaz 10% apmē</w:t>
      </w:r>
      <w:r w:rsidRPr="00554924">
        <w:rPr>
          <w:rFonts w:ascii="Arial Narrow" w:eastAsia="Arial Narrow" w:hAnsi="Arial Narrow" w:cs="Arial Narrow"/>
          <w:sz w:val="16"/>
          <w:szCs w:val="16"/>
          <w:lang w:val="lv-LV"/>
        </w:rPr>
        <w:t>rā;</w:t>
      </w:r>
    </w:p>
    <w:p w:rsidR="0035517A" w:rsidRPr="00554924" w:rsidP="0035517A" w14:paraId="6A982563" w14:textId="447C0DD8">
      <w:pPr>
        <w:pStyle w:val="ListParagraph"/>
        <w:numPr>
          <w:ilvl w:val="0"/>
          <w:numId w:val="4"/>
        </w:numPr>
        <w:spacing w:after="0" w:line="360" w:lineRule="auto"/>
        <w:jc w:val="both"/>
        <w:rPr>
          <w:rFonts w:ascii="Arial Narrow" w:eastAsia="Arial Narrow" w:hAnsi="Arial Narrow" w:cs="Arial Narrow"/>
          <w:sz w:val="16"/>
          <w:szCs w:val="16"/>
          <w:lang w:val="lv-LV"/>
        </w:rPr>
      </w:pPr>
      <w:r w:rsidRPr="00554924">
        <w:rPr>
          <w:rFonts w:ascii="Arial Narrow" w:eastAsia="Arial Narrow" w:hAnsi="Arial Narrow" w:cs="Arial Narrow"/>
          <w:sz w:val="16"/>
          <w:szCs w:val="16"/>
          <w:lang w:val="lv-LV"/>
        </w:rPr>
        <w:t>Nodrošināt DSCR* rādītāju virs noteikta līmeņa.</w:t>
      </w:r>
    </w:p>
    <w:p w:rsidR="00AD74EE" w:rsidRPr="00554924" w:rsidP="00FE2B21" w14:paraId="0D3C9805" w14:textId="77777777">
      <w:pPr>
        <w:spacing w:after="0" w:line="360" w:lineRule="auto"/>
        <w:jc w:val="both"/>
        <w:rPr>
          <w:rFonts w:ascii="Arial Narrow" w:eastAsia="Arial Narrow" w:hAnsi="Arial Narrow" w:cs="Arial Narrow"/>
          <w:b/>
          <w:bCs/>
          <w:sz w:val="16"/>
          <w:szCs w:val="16"/>
          <w:lang w:val="lv-LV"/>
        </w:rPr>
      </w:pPr>
    </w:p>
    <w:p w:rsidR="00AD74EE" w:rsidRPr="00554924" w:rsidP="00FE2B21" w14:paraId="3A676F3E" w14:textId="259FE116">
      <w:pPr>
        <w:spacing w:after="0" w:line="360" w:lineRule="auto"/>
        <w:jc w:val="both"/>
        <w:rPr>
          <w:rFonts w:ascii="Arial Narrow" w:eastAsia="Arial Narrow" w:hAnsi="Arial Narrow" w:cs="Arial Narrow"/>
          <w:b/>
          <w:bCs/>
          <w:sz w:val="16"/>
          <w:szCs w:val="16"/>
          <w:lang w:val="lv-LV"/>
        </w:rPr>
      </w:pPr>
      <w:r w:rsidRPr="00554924">
        <w:rPr>
          <w:rFonts w:ascii="Arial Narrow" w:eastAsia="Arial Narrow" w:hAnsi="Arial Narrow" w:cs="Arial Narrow"/>
          <w:b/>
          <w:bCs/>
          <w:sz w:val="16"/>
          <w:szCs w:val="16"/>
          <w:lang w:val="lv-LV"/>
        </w:rPr>
        <w:t>Sadarbība ar savstarpējās kreditēšanas platformām</w:t>
      </w:r>
    </w:p>
    <w:p w:rsidR="00FE2B21" w:rsidRPr="00554924" w:rsidP="00FE2B21" w14:paraId="2F07D2B9" w14:textId="77777777">
      <w:pPr>
        <w:spacing w:after="0" w:line="360" w:lineRule="auto"/>
        <w:jc w:val="both"/>
        <w:rPr>
          <w:rFonts w:ascii="Arial Narrow" w:eastAsia="Arial Narrow" w:hAnsi="Arial Narrow" w:cs="Arial Narrow"/>
          <w:sz w:val="16"/>
          <w:szCs w:val="16"/>
          <w:lang w:val="lv-LV"/>
        </w:rPr>
      </w:pPr>
    </w:p>
    <w:p w:rsidR="00AD74EE" w:rsidRPr="00554924" w:rsidP="00FE2B21" w14:paraId="2D236D19" w14:textId="13188736">
      <w:pPr>
        <w:spacing w:after="0" w:line="360" w:lineRule="auto"/>
        <w:jc w:val="both"/>
        <w:rPr>
          <w:rFonts w:ascii="Arial Narrow" w:eastAsia="Arial Narrow" w:hAnsi="Arial Narrow" w:cs="Arial Narrow"/>
          <w:sz w:val="16"/>
          <w:szCs w:val="16"/>
          <w:lang w:val="lv-LV"/>
        </w:rPr>
      </w:pPr>
      <w:r w:rsidRPr="00554924">
        <w:rPr>
          <w:rFonts w:ascii="Arial Narrow" w:eastAsia="Arial Narrow" w:hAnsi="Arial Narrow" w:cs="Arial Narrow"/>
          <w:sz w:val="16"/>
          <w:szCs w:val="16"/>
          <w:lang w:val="lv-LV"/>
        </w:rPr>
        <w:t>1) Pozitīvs pašu kapitāls un DSCR* rādītājs virs noteikta līmeņa.</w:t>
      </w:r>
    </w:p>
    <w:p w:rsidR="00AD74EE" w:rsidRPr="00554924" w:rsidP="00FE2B21" w14:paraId="66EF4CA3" w14:textId="3D41EC3B">
      <w:pPr>
        <w:spacing w:after="0" w:line="360" w:lineRule="auto"/>
        <w:jc w:val="both"/>
        <w:rPr>
          <w:rFonts w:ascii="Arial Narrow" w:eastAsia="Arial Narrow" w:hAnsi="Arial Narrow" w:cs="Arial Narrow"/>
          <w:sz w:val="16"/>
          <w:szCs w:val="16"/>
          <w:lang w:val="lv-LV"/>
        </w:rPr>
      </w:pPr>
      <w:r w:rsidRPr="00554924">
        <w:rPr>
          <w:rFonts w:ascii="Arial Narrow" w:eastAsia="Arial Narrow" w:hAnsi="Arial Narrow" w:cs="Arial Narrow"/>
          <w:sz w:val="16"/>
          <w:szCs w:val="16"/>
          <w:lang w:val="lv-LV"/>
        </w:rPr>
        <w:t>Koncernam ir jāpilda papildu finanšu nosacījumi, kas saistīti ar finansējumu, kas pies</w:t>
      </w:r>
      <w:r w:rsidRPr="00554924">
        <w:rPr>
          <w:rFonts w:ascii="Arial Narrow" w:eastAsia="Arial Narrow" w:hAnsi="Arial Narrow" w:cs="Arial Narrow"/>
          <w:sz w:val="16"/>
          <w:szCs w:val="16"/>
          <w:lang w:val="lv-LV"/>
        </w:rPr>
        <w:t>aistīts no P2P platformas. Koncerns regulāri uzrauga attiecīgos rādītājus un nodrošina, ka piemērojamie nosacījumi tiek pildīti. Koncerns ir ievērojis šos nosacījumus gan 202</w:t>
      </w:r>
      <w:r>
        <w:rPr>
          <w:rFonts w:ascii="Arial Narrow" w:eastAsia="Arial Narrow" w:hAnsi="Arial Narrow" w:cs="Arial Narrow"/>
          <w:sz w:val="16"/>
          <w:szCs w:val="16"/>
          <w:lang w:val="lv-LV"/>
        </w:rPr>
        <w:t>1</w:t>
      </w:r>
      <w:r w:rsidRPr="00554924">
        <w:rPr>
          <w:rFonts w:ascii="Arial Narrow" w:eastAsia="Arial Narrow" w:hAnsi="Arial Narrow" w:cs="Arial Narrow"/>
          <w:sz w:val="16"/>
          <w:szCs w:val="16"/>
          <w:lang w:val="lv-LV"/>
        </w:rPr>
        <w:t>. gada 31. decembrī, gan 20</w:t>
      </w:r>
      <w:r>
        <w:rPr>
          <w:rFonts w:ascii="Arial Narrow" w:eastAsia="Arial Narrow" w:hAnsi="Arial Narrow" w:cs="Arial Narrow"/>
          <w:sz w:val="16"/>
          <w:szCs w:val="16"/>
          <w:lang w:val="lv-LV"/>
        </w:rPr>
        <w:t>20</w:t>
      </w:r>
      <w:r w:rsidRPr="00554924">
        <w:rPr>
          <w:rFonts w:ascii="Arial Narrow" w:eastAsia="Arial Narrow" w:hAnsi="Arial Narrow" w:cs="Arial Narrow"/>
          <w:sz w:val="16"/>
          <w:szCs w:val="16"/>
          <w:lang w:val="lv-LV"/>
        </w:rPr>
        <w:t>. gada 31. decembrī.</w:t>
      </w:r>
    </w:p>
    <w:p w:rsidR="00FE2B21" w:rsidRPr="00554924" w:rsidP="00FE2B21" w14:paraId="5D92C0A3" w14:textId="77777777">
      <w:pPr>
        <w:spacing w:after="0" w:line="360" w:lineRule="auto"/>
        <w:jc w:val="both"/>
        <w:rPr>
          <w:rFonts w:ascii="Arial Narrow" w:eastAsia="Arial Narrow" w:hAnsi="Arial Narrow" w:cs="Arial Narrow"/>
          <w:sz w:val="16"/>
          <w:szCs w:val="16"/>
          <w:lang w:val="lv-LV"/>
        </w:rPr>
      </w:pPr>
    </w:p>
    <w:p w:rsidR="009E28A3" w:rsidRPr="00554924" w:rsidP="00FE2B21" w14:textId="5A2BCE35">
      <w:pPr>
        <w:spacing w:after="0" w:line="360" w:lineRule="auto"/>
        <w:jc w:val="both"/>
        <w:rPr>
          <w:rFonts w:ascii="Arial Narrow" w:eastAsia="Arial Narrow" w:hAnsi="Arial Narrow" w:cs="Arial Narrow"/>
          <w:sz w:val="16"/>
          <w:szCs w:val="16"/>
          <w:lang w:val="lv-LV"/>
        </w:rPr>
      </w:pPr>
      <w:r w:rsidRPr="00554924">
        <w:rPr>
          <w:rFonts w:ascii="Arial Narrow" w:eastAsia="Arial Narrow" w:hAnsi="Arial Narrow" w:cs="Arial Narrow"/>
          <w:sz w:val="16"/>
          <w:szCs w:val="16"/>
          <w:lang w:val="lv-LV"/>
        </w:rPr>
        <w:t xml:space="preserve">* DSCR (parāda </w:t>
      </w:r>
      <w:r w:rsidRPr="00554924">
        <w:rPr>
          <w:rFonts w:ascii="Arial Narrow" w:eastAsia="Arial Narrow" w:hAnsi="Arial Narrow" w:cs="Arial Narrow"/>
          <w:sz w:val="16"/>
          <w:szCs w:val="16"/>
          <w:lang w:val="lv-LV"/>
        </w:rPr>
        <w:t>apkalpošanas seguma rādītājs) ir EBITDA (peļņa pirms uzņēmumu ienākumu nodokļa, nolietojuma un amortizācijas) / (dalīts ar) visu procentu un pamatsummas maksājumu summu par visiem procentus nesošiem parādiem (aizņēmumiem, finanšu un operatīvo nomu, faktori</w:t>
      </w:r>
      <w:r w:rsidRPr="00554924">
        <w:rPr>
          <w:rFonts w:ascii="Arial Narrow" w:eastAsia="Arial Narrow" w:hAnsi="Arial Narrow" w:cs="Arial Narrow"/>
          <w:sz w:val="16"/>
          <w:szCs w:val="16"/>
          <w:lang w:val="lv-LV"/>
        </w:rPr>
        <w:t>ngu, garantijām, akreditīviem u.c.), kas maksājami saskaņā ar spēkā esošiem līgumiem periodā, par kuru DSCR tiek aprēķināts.</w:t>
      </w:r>
    </w:p>
    <w:tbl>
      <w:tblPr>
        <w:tblStyle w:val="CDMRange1"/>
        <w:tblW w:w="9600" w:type="dxa"/>
        <w:tblLayout w:type="fixed"/>
        <w:tblLook w:val="0600"/>
      </w:tblPr>
      <w:tblGrid>
        <w:gridCol w:w="7200"/>
        <w:gridCol w:w="1200"/>
        <w:gridCol w:w="1200"/>
      </w:tblGrid>
      <w:tr>
        <w:tblPrEx>
          <w:tblW w:w="9600" w:type="dxa"/>
          <w:tblLayout w:type="fixed"/>
          <w:tblLook w:val="0600"/>
        </w:tblPrEx>
        <w:trPr>
          <w:trHeight w:hRule="exac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pageBreakBefore/>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39. Uzkrājumi finanšu garantijām</w:t>
            </w:r>
          </w:p>
        </w:tc>
        <w:tc>
          <w:tcPr>
            <w:tcW w:w="1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1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Ietekme uz pārējām rezervēm</w:t>
            </w:r>
          </w:p>
        </w:tc>
        <w:tc>
          <w:tcPr>
            <w:tcW w:w="1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EUR </w:t>
            </w:r>
          </w:p>
        </w:tc>
        <w:tc>
          <w:tcPr>
            <w:tcW w:w="1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 EUR </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7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2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Pārējās rezerves</w:t>
            </w:r>
          </w:p>
        </w:tc>
        <w:tc>
          <w:tcPr>
            <w:tcW w:w="12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Pārējās rezerves</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7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2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2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 xml:space="preserve">1.janvārī </w:t>
            </w:r>
          </w:p>
        </w:tc>
        <w:tc>
          <w:tcPr>
            <w:tcW w:w="12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(4,085,406)</w:t>
            </w:r>
          </w:p>
        </w:tc>
        <w:tc>
          <w:tcPr>
            <w:tcW w:w="12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(4,769,833)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Jauno izsniegto garantiju patiesā vērtība (1), (2)</w:t>
            </w:r>
          </w:p>
        </w:tc>
        <w:tc>
          <w:tcPr>
            <w:tcW w:w="12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(3,312,896)</w:t>
            </w:r>
          </w:p>
        </w:tc>
        <w:tc>
          <w:tcPr>
            <w:tcW w:w="12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Garantiju atzīšanas pārtraukšana (3), (4)</w:t>
            </w:r>
          </w:p>
        </w:tc>
        <w:tc>
          <w:tcPr>
            <w:tcW w:w="12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4,085,406</w:t>
            </w:r>
          </w:p>
        </w:tc>
        <w:tc>
          <w:tcPr>
            <w:tcW w:w="12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Garantiju patiesās vērtības samazinājums pārvērtēšanas dēļ</w:t>
            </w:r>
          </w:p>
        </w:tc>
        <w:tc>
          <w:tcPr>
            <w:tcW w:w="12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1,115,812</w:t>
            </w:r>
          </w:p>
        </w:tc>
        <w:tc>
          <w:tcPr>
            <w:tcW w:w="12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684,427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31.decembrī</w:t>
            </w:r>
          </w:p>
        </w:tc>
        <w:tc>
          <w:tcPr>
            <w:tcW w:w="12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(2,197,084)</w:t>
            </w:r>
          </w:p>
        </w:tc>
        <w:tc>
          <w:tcPr>
            <w:tcW w:w="12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(4,085,406)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Ietekme uz uzkrājumiem finanšu garantijām</w:t>
            </w:r>
          </w:p>
        </w:tc>
        <w:tc>
          <w:tcPr>
            <w:tcW w:w="12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Finanšu garantijas</w:t>
            </w:r>
          </w:p>
        </w:tc>
        <w:tc>
          <w:tcPr>
            <w:tcW w:w="12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Finanšu garantijas</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7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2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12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 xml:space="preserve">1.janvārī </w:t>
            </w:r>
          </w:p>
        </w:tc>
        <w:tc>
          <w:tcPr>
            <w:tcW w:w="12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1,986,481</w:t>
            </w:r>
          </w:p>
        </w:tc>
        <w:tc>
          <w:tcPr>
            <w:tcW w:w="12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4,315,492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Jauno izsniegto garantiju patiesā vērtība (1), (2)</w:t>
            </w:r>
          </w:p>
        </w:tc>
        <w:tc>
          <w:tcPr>
            <w:tcW w:w="12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3,312,896</w:t>
            </w:r>
          </w:p>
        </w:tc>
        <w:tc>
          <w:tcPr>
            <w:tcW w:w="12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Garantiju patiesās vērtības samazinājums pārvērtēšanas dēļ</w:t>
            </w:r>
          </w:p>
        </w:tc>
        <w:tc>
          <w:tcPr>
            <w:tcW w:w="12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(1,115,812)</w:t>
            </w:r>
          </w:p>
        </w:tc>
        <w:tc>
          <w:tcPr>
            <w:tcW w:w="12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(684,428)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Amortizēts kā ienākums pirms atzīšanas pārtraukšanas</w:t>
            </w:r>
          </w:p>
        </w:tc>
        <w:tc>
          <w:tcPr>
            <w:tcW w:w="12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(985,276)</w:t>
            </w:r>
          </w:p>
        </w:tc>
        <w:tc>
          <w:tcPr>
            <w:tcW w:w="12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Garantiju atzīšanas pārtraukšana (3), (4)</w:t>
            </w:r>
          </w:p>
        </w:tc>
        <w:tc>
          <w:tcPr>
            <w:tcW w:w="12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(1,001,205)</w:t>
            </w:r>
          </w:p>
        </w:tc>
        <w:tc>
          <w:tcPr>
            <w:tcW w:w="12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Garantiju patiesā vērtība pēc izmaiņām</w:t>
            </w:r>
          </w:p>
        </w:tc>
        <w:tc>
          <w:tcPr>
            <w:tcW w:w="12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2,197,084</w:t>
            </w:r>
          </w:p>
        </w:tc>
        <w:tc>
          <w:tcPr>
            <w:tcW w:w="12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3,631,064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Ārvalstu valūtas peļņa/zaudējumi</w:t>
            </w:r>
          </w:p>
        </w:tc>
        <w:tc>
          <w:tcPr>
            <w:tcW w:w="12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42,379</w:t>
            </w:r>
          </w:p>
        </w:tc>
        <w:tc>
          <w:tcPr>
            <w:tcW w:w="12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Amortizēts kā ienākums jaunajām izsniegtajām garantijām</w:t>
            </w:r>
          </w:p>
        </w:tc>
        <w:tc>
          <w:tcPr>
            <w:tcW w:w="12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(231,044)</w:t>
            </w:r>
          </w:p>
        </w:tc>
        <w:tc>
          <w:tcPr>
            <w:tcW w:w="12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(1,644,583)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31.decembrī</w:t>
            </w:r>
          </w:p>
        </w:tc>
        <w:tc>
          <w:tcPr>
            <w:tcW w:w="12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2,008,420</w:t>
            </w:r>
          </w:p>
        </w:tc>
        <w:tc>
          <w:tcPr>
            <w:tcW w:w="12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1,986,481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Finanšu garantija par labu Eleving Group S.A. obligāciju turētājiem</w:t>
            </w:r>
          </w:p>
        </w:tc>
        <w:tc>
          <w:tcPr>
            <w:tcW w:w="12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1,722,730</w:t>
            </w:r>
          </w:p>
        </w:tc>
        <w:tc>
          <w:tcPr>
            <w:tcW w:w="12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1,970,256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Finanšu garantija par labu Ardshinbank</w:t>
            </w:r>
          </w:p>
        </w:tc>
        <w:tc>
          <w:tcPr>
            <w:tcW w:w="12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285,690</w:t>
            </w:r>
          </w:p>
        </w:tc>
        <w:tc>
          <w:tcPr>
            <w:tcW w:w="12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16,225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12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2,008,420</w:t>
            </w:r>
          </w:p>
        </w:tc>
        <w:tc>
          <w:tcPr>
            <w:tcW w:w="12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1,986,481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1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1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Kopā atzīts ieņēmumos (14. piezīme)</w:t>
            </w:r>
          </w:p>
        </w:tc>
        <w:tc>
          <w:tcPr>
            <w:tcW w:w="12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(1,216,319)</w:t>
            </w:r>
          </w:p>
        </w:tc>
        <w:tc>
          <w:tcPr>
            <w:tcW w:w="12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(1,644,583)</w:t>
            </w:r>
          </w:p>
        </w:tc>
      </w:tr>
    </w:tbl>
    <w:p/>
    <w:p w:rsidR="00DA4980" w:rsidRPr="00DA4980" w:rsidP="00DA4980" w14:paraId="5A5E54B1" w14:textId="01E2E9F3">
      <w:pPr>
        <w:spacing w:after="0" w:line="360" w:lineRule="auto"/>
        <w:jc w:val="both"/>
        <w:rPr>
          <w:rFonts w:ascii="Arial Narrow" w:eastAsia="Arial Narrow" w:hAnsi="Arial Narrow" w:cs="Arial Narrow"/>
          <w:sz w:val="16"/>
          <w:szCs w:val="16"/>
          <w:lang w:val="lv-LV"/>
        </w:rPr>
      </w:pPr>
      <w:bookmarkStart w:id="1229" w:name="RG_MARKER_6668"/>
      <w:bookmarkStart w:id="1230" w:name="RG_MARKER_6585"/>
      <w:r w:rsidRPr="00A01C4D">
        <w:rPr>
          <w:rFonts w:ascii="Arial Narrow" w:eastAsia="Arial Narrow" w:hAnsi="Arial Narrow" w:cs="Arial Narrow"/>
          <w:sz w:val="16"/>
          <w:szCs w:val="16"/>
          <w:lang w:val="lv-LV"/>
        </w:rPr>
        <w:t xml:space="preserve">1) </w:t>
      </w:r>
      <w:bookmarkEnd w:id="1230"/>
      <w:bookmarkEnd w:id="1229"/>
      <w:r w:rsidRPr="00DA4980">
        <w:rPr>
          <w:rFonts w:ascii="Arial Narrow" w:eastAsia="Arial Narrow" w:hAnsi="Arial Narrow" w:cs="Arial Narrow"/>
          <w:sz w:val="16"/>
          <w:szCs w:val="16"/>
          <w:lang w:val="lv-LV"/>
        </w:rPr>
        <w:t>2021.gada 14.oktobrī Mātes sabiedrība</w:t>
      </w:r>
      <w:r w:rsidR="00D85A28">
        <w:rPr>
          <w:rFonts w:ascii="Arial Narrow" w:eastAsia="Arial Narrow" w:hAnsi="Arial Narrow" w:cs="Arial Narrow"/>
          <w:sz w:val="16"/>
          <w:szCs w:val="16"/>
          <w:lang w:val="lv-LV"/>
        </w:rPr>
        <w:t xml:space="preserve"> un AS Renti</w:t>
      </w:r>
      <w:r w:rsidRPr="00DA4980">
        <w:rPr>
          <w:rFonts w:ascii="Arial Narrow" w:eastAsia="Arial Narrow" w:hAnsi="Arial Narrow" w:cs="Arial Narrow"/>
          <w:sz w:val="16"/>
          <w:szCs w:val="16"/>
          <w:lang w:val="lv-LV"/>
        </w:rPr>
        <w:t xml:space="preserve"> noslēdza finanšu garantijas līgumu par labu Eleving Group obligāciju turētājiem. Garantija tika izsniegta, lai nodrošinātu Eleving Group korporatīvās obligācijas ISIN XS2393240887 (2021. gada 31. decembrī obligāciju kopējā nominālvērtība ir 150 miljoni ei</w:t>
      </w:r>
      <w:r w:rsidRPr="00DA4980">
        <w:rPr>
          <w:rFonts w:ascii="Arial Narrow" w:eastAsia="Arial Narrow" w:hAnsi="Arial Narrow" w:cs="Arial Narrow"/>
          <w:sz w:val="16"/>
          <w:szCs w:val="16"/>
          <w:lang w:val="lv-LV"/>
        </w:rPr>
        <w:t>ro), kas tiek kotētas Frankfurtes Fondu biržas Atklātajā sarakstā. Garantijas līgums paredz, ka Mātes sabiedrība un meitas sabiedrība neatgriezeniski garantē Eleving Group saistību apmaksu obligāciju turētājiem saskaņā ar prospekta nosacījumiem gadījumā, j</w:t>
      </w:r>
      <w:r w:rsidRPr="00DA4980">
        <w:rPr>
          <w:rFonts w:ascii="Arial Narrow" w:eastAsia="Arial Narrow" w:hAnsi="Arial Narrow" w:cs="Arial Narrow"/>
          <w:sz w:val="16"/>
          <w:szCs w:val="16"/>
          <w:lang w:val="lv-LV"/>
        </w:rPr>
        <w:t>a Eleving Group iestāsies saistību neizpilde.</w:t>
      </w:r>
    </w:p>
    <w:p w:rsidR="0052067F" w:rsidP="0052067F" w14:paraId="1C0FB463" w14:textId="6AF61E9E">
      <w:pPr>
        <w:spacing w:after="0" w:line="360" w:lineRule="auto"/>
        <w:jc w:val="both"/>
        <w:rPr>
          <w:rFonts w:ascii="Arial Narrow" w:eastAsia="Arial Narrow" w:hAnsi="Arial Narrow" w:cs="Arial Narrow"/>
          <w:sz w:val="16"/>
          <w:szCs w:val="16"/>
          <w:lang w:val="lv-LV"/>
        </w:rPr>
      </w:pPr>
      <w:r w:rsidRPr="00DA4980">
        <w:rPr>
          <w:rFonts w:ascii="Arial Narrow" w:eastAsia="Arial Narrow" w:hAnsi="Arial Narrow" w:cs="Arial Narrow"/>
          <w:sz w:val="16"/>
          <w:szCs w:val="16"/>
          <w:lang w:val="lv-LV"/>
        </w:rPr>
        <w:t>Koncerns nav saņēmis atlīdzību par šo garantiju. Finanšu garantiju patiesā vērtība ir atzīta kā saistības un pašu kapitāla sadale pārējo rezervju sastāvā. Finanšu garantijas saistību apjoms tiek amortizēts ieņē</w:t>
      </w:r>
      <w:r w:rsidRPr="00DA4980">
        <w:rPr>
          <w:rFonts w:ascii="Arial Narrow" w:eastAsia="Arial Narrow" w:hAnsi="Arial Narrow" w:cs="Arial Narrow"/>
          <w:sz w:val="16"/>
          <w:szCs w:val="16"/>
          <w:lang w:val="lv-LV"/>
        </w:rPr>
        <w:t>mumu sastāvā saskaņā ar SFPS Nr. 15 principiem (</w:t>
      </w:r>
      <w:r w:rsidRPr="00A01C4D">
        <w:rPr>
          <w:rFonts w:ascii="Arial Narrow" w:eastAsia="Arial Narrow" w:hAnsi="Arial Narrow" w:cs="Arial Narrow"/>
          <w:sz w:val="16"/>
          <w:szCs w:val="16"/>
          <w:lang w:val="lv-LV"/>
        </w:rPr>
        <w:t>14</w:t>
      </w:r>
      <w:r w:rsidRPr="00A01C4D">
        <w:rPr>
          <w:rFonts w:ascii="Arial Narrow" w:eastAsia="Arial Narrow" w:hAnsi="Arial Narrow" w:cs="Arial Narrow"/>
          <w:sz w:val="16"/>
          <w:szCs w:val="16"/>
          <w:lang w:val="lv-LV"/>
        </w:rPr>
        <w:t>. piezīme</w:t>
      </w:r>
      <w:r w:rsidRPr="00DA4980">
        <w:rPr>
          <w:rFonts w:ascii="Arial Narrow" w:eastAsia="Arial Narrow" w:hAnsi="Arial Narrow" w:cs="Arial Narrow"/>
          <w:sz w:val="16"/>
          <w:szCs w:val="16"/>
          <w:lang w:val="lv-LV"/>
        </w:rPr>
        <w:t xml:space="preserve">) lineāri līdz obligāciju dzēšanas termiņam, kas iestājas </w:t>
      </w:r>
      <w:r w:rsidRPr="00005D0D" w:rsidR="00005D0D">
        <w:rPr>
          <w:rFonts w:ascii="Arial Narrow" w:eastAsia="Arial Narrow" w:hAnsi="Arial Narrow" w:cs="Arial Narrow"/>
          <w:sz w:val="16"/>
          <w:szCs w:val="16"/>
          <w:lang w:val="lv-LV"/>
        </w:rPr>
        <w:t>2026. gada oktobrī</w:t>
      </w:r>
      <w:r>
        <w:rPr>
          <w:rFonts w:ascii="Arial Narrow" w:eastAsia="Arial Narrow" w:hAnsi="Arial Narrow" w:cs="Arial Narrow"/>
          <w:sz w:val="16"/>
          <w:szCs w:val="16"/>
          <w:lang w:val="lv-LV"/>
        </w:rPr>
        <w:t>.</w:t>
      </w:r>
    </w:p>
    <w:p w:rsidR="00E858B6" w:rsidP="0052067F" w14:paraId="7F0195FF" w14:textId="77777777">
      <w:pPr>
        <w:spacing w:after="0" w:line="360" w:lineRule="auto"/>
        <w:jc w:val="both"/>
        <w:rPr>
          <w:rFonts w:ascii="Arial Narrow" w:eastAsia="Arial Narrow" w:hAnsi="Arial Narrow" w:cs="Arial Narrow"/>
          <w:sz w:val="16"/>
          <w:szCs w:val="16"/>
          <w:lang w:val="lv-LV"/>
        </w:rPr>
      </w:pPr>
    </w:p>
    <w:p w:rsidR="00005D0D" w:rsidP="0052067F" w14:paraId="7B214CEA" w14:textId="0A5F5945">
      <w:pPr>
        <w:spacing w:after="0" w:line="360" w:lineRule="auto"/>
        <w:jc w:val="both"/>
        <w:rPr>
          <w:rFonts w:ascii="Arial Narrow" w:eastAsia="Arial Narrow" w:hAnsi="Arial Narrow" w:cs="Arial Narrow"/>
          <w:sz w:val="16"/>
          <w:szCs w:val="16"/>
          <w:lang w:val="lv-LV"/>
        </w:rPr>
      </w:pPr>
      <w:r w:rsidRPr="00005D0D">
        <w:rPr>
          <w:rFonts w:ascii="Arial Narrow" w:eastAsia="Arial Narrow" w:hAnsi="Arial Narrow" w:cs="Arial Narrow"/>
          <w:sz w:val="16"/>
          <w:szCs w:val="16"/>
          <w:lang w:val="lv-LV"/>
        </w:rPr>
        <w:t>(2) 2021. gada 15. jūnijā Mātes sabiedrība noslēdza galvojuma līgumu ar Ardshinbank AS un Mogo UCO LLC (Armēnija)</w:t>
      </w:r>
      <w:r w:rsidRPr="00005D0D">
        <w:rPr>
          <w:rFonts w:ascii="Arial Narrow" w:eastAsia="Arial Narrow" w:hAnsi="Arial Narrow" w:cs="Arial Narrow"/>
          <w:sz w:val="16"/>
          <w:szCs w:val="16"/>
          <w:lang w:val="lv-LV"/>
        </w:rPr>
        <w:t>, lai nodrošinātu Mogo UCO LLC saistības pret Ardshinbank CJSC, kas izriet no aizdevuma līguma, kas noslēgts starp Ardshinbank CJSC un Mogo UCO LLC. Mātes sabiedrība nav saņēmusi atlīdzību par šo garantiju. Finanšu garantiju patiesā vērtība ir atzīta kā sa</w:t>
      </w:r>
      <w:r w:rsidRPr="00005D0D">
        <w:rPr>
          <w:rFonts w:ascii="Arial Narrow" w:eastAsia="Arial Narrow" w:hAnsi="Arial Narrow" w:cs="Arial Narrow"/>
          <w:sz w:val="16"/>
          <w:szCs w:val="16"/>
          <w:lang w:val="lv-LV"/>
        </w:rPr>
        <w:t xml:space="preserve">istības un pašu kapitāla sadale pārējo rezervju sastāvā. Finanšu garantijas saistību apjoms tiek amortizēts ieņēmumu sastāvā </w:t>
      </w:r>
      <w:r w:rsidRPr="00005D0D">
        <w:rPr>
          <w:rFonts w:ascii="Arial Narrow" w:eastAsia="Arial Narrow" w:hAnsi="Arial Narrow" w:cs="Arial Narrow"/>
          <w:sz w:val="16"/>
          <w:szCs w:val="16"/>
          <w:lang w:val="lv-LV"/>
        </w:rPr>
        <w:t xml:space="preserve"> (14. piezīme) lineāri līdz obligāciju dzēšanas termiņam, kas iestājas 2024. gada februārī.</w:t>
      </w:r>
    </w:p>
    <w:p w:rsidR="00E858B6" w:rsidP="0052067F" w14:paraId="22C03F3D" w14:textId="77777777">
      <w:pPr>
        <w:spacing w:after="0" w:line="360" w:lineRule="auto"/>
        <w:jc w:val="both"/>
        <w:rPr>
          <w:rFonts w:ascii="Arial Narrow" w:eastAsia="Arial Narrow" w:hAnsi="Arial Narrow" w:cs="Arial Narrow"/>
          <w:sz w:val="16"/>
          <w:szCs w:val="16"/>
          <w:lang w:val="lv-LV"/>
        </w:rPr>
      </w:pPr>
    </w:p>
    <w:p w:rsidR="00005D0D" w:rsidRPr="00005D0D" w:rsidP="00005D0D" w14:paraId="02A9915A" w14:textId="20F2B2AE">
      <w:pPr>
        <w:spacing w:after="0" w:line="360" w:lineRule="auto"/>
        <w:jc w:val="both"/>
        <w:rPr>
          <w:rFonts w:ascii="Arial Narrow" w:eastAsia="Arial Narrow" w:hAnsi="Arial Narrow" w:cs="Arial Narrow"/>
          <w:sz w:val="16"/>
          <w:szCs w:val="16"/>
          <w:lang w:val="lv-LV"/>
        </w:rPr>
      </w:pPr>
      <w:r w:rsidRPr="00005D0D">
        <w:rPr>
          <w:rFonts w:ascii="Arial Narrow" w:eastAsia="Arial Narrow" w:hAnsi="Arial Narrow" w:cs="Arial Narrow"/>
          <w:sz w:val="16"/>
          <w:szCs w:val="16"/>
          <w:lang w:val="lv-LV"/>
        </w:rPr>
        <w:t>(3) 2</w:t>
      </w:r>
      <w:r w:rsidRPr="00005D0D">
        <w:rPr>
          <w:rFonts w:ascii="Arial Narrow" w:eastAsia="Arial Narrow" w:hAnsi="Arial Narrow" w:cs="Arial Narrow"/>
          <w:sz w:val="16"/>
          <w:szCs w:val="16"/>
          <w:lang w:val="lv-LV"/>
        </w:rPr>
        <w:t>018. gada 9.jūlijā Koncerns noslēdza finanšu garantijas līgumu par labu Mogo Finance S.A. (šobrīd Eleving Group S.A.) obligāciju turētājiem. 2019. gada</w:t>
      </w:r>
      <w:r>
        <w:rPr>
          <w:rFonts w:ascii="Arial Narrow" w:eastAsia="Arial Narrow" w:hAnsi="Arial Narrow" w:cs="Arial Narrow"/>
          <w:sz w:val="16"/>
          <w:szCs w:val="16"/>
          <w:lang w:val="lv-LV"/>
        </w:rPr>
        <w:t xml:space="preserve"> 31.</w:t>
      </w:r>
      <w:r w:rsidRPr="00005D0D">
        <w:rPr>
          <w:rFonts w:ascii="Arial Narrow" w:eastAsia="Arial Narrow" w:hAnsi="Arial Narrow" w:cs="Arial Narrow"/>
          <w:sz w:val="16"/>
          <w:szCs w:val="16"/>
          <w:lang w:val="lv-LV"/>
        </w:rPr>
        <w:t xml:space="preserve"> maijā šim finanšu garantijas līgumiem pievienojās arī meitas sabiedrība. Garantija tika izsniegta, l</w:t>
      </w:r>
      <w:r w:rsidRPr="00005D0D">
        <w:rPr>
          <w:rFonts w:ascii="Arial Narrow" w:eastAsia="Arial Narrow" w:hAnsi="Arial Narrow" w:cs="Arial Narrow"/>
          <w:sz w:val="16"/>
          <w:szCs w:val="16"/>
          <w:lang w:val="lv-LV"/>
        </w:rPr>
        <w:t>ai nodrošinātu Mogo Finance S.A. korporatīvās obligācijas ISIN XS1831877755 (31.12.2020. obligāciju kopējā nominālvērtība bija 100 miljoni eiro; 31.12.2019. - 100 miljoni eiro), kas kotētas Frankfurtes biržas atklātajā sarakstā. Garantijas līgums paredz, k</w:t>
      </w:r>
      <w:r w:rsidRPr="00005D0D">
        <w:rPr>
          <w:rFonts w:ascii="Arial Narrow" w:eastAsia="Arial Narrow" w:hAnsi="Arial Narrow" w:cs="Arial Narrow"/>
          <w:sz w:val="16"/>
          <w:szCs w:val="16"/>
          <w:lang w:val="lv-LV"/>
        </w:rPr>
        <w:t>a Mātes sabiedrība un meitas sabiedrība neatgriezeniski garantē Mogo Finance S.A. saistību apmaksu obligāciju turētājiem saskaņā ar prospekta nosacījumiem gadījumā, ja Mogo Finance S.A. iestāsies saistību neizpilde.</w:t>
      </w:r>
    </w:p>
    <w:p w:rsidR="00005D0D" w:rsidP="00005D0D" w14:paraId="0FE23143" w14:textId="7FC027A3">
      <w:pPr>
        <w:spacing w:after="0" w:line="360" w:lineRule="auto"/>
        <w:jc w:val="both"/>
        <w:rPr>
          <w:rFonts w:ascii="Arial Narrow" w:eastAsia="Arial Narrow" w:hAnsi="Arial Narrow" w:cs="Arial Narrow"/>
          <w:sz w:val="16"/>
          <w:szCs w:val="16"/>
          <w:lang w:val="lv-LV"/>
        </w:rPr>
      </w:pPr>
      <w:r w:rsidRPr="00005D0D">
        <w:rPr>
          <w:rFonts w:ascii="Arial Narrow" w:eastAsia="Arial Narrow" w:hAnsi="Arial Narrow" w:cs="Arial Narrow"/>
          <w:sz w:val="16"/>
          <w:szCs w:val="16"/>
          <w:lang w:val="lv-LV"/>
        </w:rPr>
        <w:t>Koncerns</w:t>
      </w:r>
      <w:r>
        <w:rPr>
          <w:rFonts w:ascii="Arial Narrow" w:eastAsia="Arial Narrow" w:hAnsi="Arial Narrow" w:cs="Arial Narrow"/>
          <w:sz w:val="16"/>
          <w:szCs w:val="16"/>
          <w:lang w:val="lv-LV"/>
        </w:rPr>
        <w:t xml:space="preserve"> un meitas sabiedrība</w:t>
      </w:r>
      <w:r w:rsidRPr="00005D0D">
        <w:rPr>
          <w:rFonts w:ascii="Arial Narrow" w:eastAsia="Arial Narrow" w:hAnsi="Arial Narrow" w:cs="Arial Narrow"/>
          <w:sz w:val="16"/>
          <w:szCs w:val="16"/>
          <w:lang w:val="lv-LV"/>
        </w:rPr>
        <w:t xml:space="preserve"> nav saņēm</w:t>
      </w:r>
      <w:r>
        <w:rPr>
          <w:rFonts w:ascii="Arial Narrow" w:eastAsia="Arial Narrow" w:hAnsi="Arial Narrow" w:cs="Arial Narrow"/>
          <w:sz w:val="16"/>
          <w:szCs w:val="16"/>
          <w:lang w:val="lv-LV"/>
        </w:rPr>
        <w:t>u</w:t>
      </w:r>
      <w:r>
        <w:rPr>
          <w:rFonts w:ascii="Arial Narrow" w:eastAsia="Arial Narrow" w:hAnsi="Arial Narrow" w:cs="Arial Narrow"/>
          <w:sz w:val="16"/>
          <w:szCs w:val="16"/>
          <w:lang w:val="lv-LV"/>
        </w:rPr>
        <w:t>ši</w:t>
      </w:r>
      <w:r w:rsidRPr="00005D0D">
        <w:rPr>
          <w:rFonts w:ascii="Arial Narrow" w:eastAsia="Arial Narrow" w:hAnsi="Arial Narrow" w:cs="Arial Narrow"/>
          <w:sz w:val="16"/>
          <w:szCs w:val="16"/>
          <w:lang w:val="lv-LV"/>
        </w:rPr>
        <w:t xml:space="preserve"> atlīdzību par šo garantiju. Finanšu garantiju patiesā vērtība ir atzīta kā saistības un pašu kapitāla sadale pārējo rezervju sastāvā. Finanšu garantijas saistību apjoms tiek amortizēts ieņēmumu sastāvā saskaņā ar SFPS Nr. 15 principiem (14. piezīme) lin</w:t>
      </w:r>
      <w:r w:rsidRPr="00005D0D">
        <w:rPr>
          <w:rFonts w:ascii="Arial Narrow" w:eastAsia="Arial Narrow" w:hAnsi="Arial Narrow" w:cs="Arial Narrow"/>
          <w:sz w:val="16"/>
          <w:szCs w:val="16"/>
          <w:lang w:val="lv-LV"/>
        </w:rPr>
        <w:t>eāri līdz obligāciju dzēšanas termiņam, kas iestājas 2022. gada jūlijā.</w:t>
      </w:r>
    </w:p>
    <w:p w:rsidR="00D85A28" w:rsidP="00005D0D" w14:paraId="1EFE91F8" w14:textId="4DCEAB21">
      <w:pPr>
        <w:spacing w:after="0" w:line="360" w:lineRule="auto"/>
        <w:jc w:val="both"/>
        <w:rPr>
          <w:rFonts w:ascii="Arial Narrow" w:eastAsia="Arial Narrow" w:hAnsi="Arial Narrow" w:cs="Arial Narrow"/>
          <w:sz w:val="16"/>
          <w:szCs w:val="16"/>
          <w:lang w:val="lv-LV"/>
        </w:rPr>
      </w:pPr>
      <w:r w:rsidRPr="001C305B">
        <w:rPr>
          <w:rFonts w:ascii="Arial Narrow" w:eastAsia="Arial Narrow" w:hAnsi="Arial Narrow" w:cs="Arial Narrow"/>
          <w:sz w:val="16"/>
          <w:szCs w:val="16"/>
          <w:lang w:val="lv-LV"/>
        </w:rPr>
        <w:t>2021. gada 12. oktobrī tika parakstīts kopējais atbrīvošanas līgums, kas paredz, ka visi veco obligāciju nodrošinājuma dokumenti (garantijas un ķīlas) tiks pilnībā izbeigti pēc veco ob</w:t>
      </w:r>
      <w:r w:rsidRPr="001C305B">
        <w:rPr>
          <w:rFonts w:ascii="Arial Narrow" w:eastAsia="Arial Narrow" w:hAnsi="Arial Narrow" w:cs="Arial Narrow"/>
          <w:sz w:val="16"/>
          <w:szCs w:val="16"/>
          <w:lang w:val="lv-LV"/>
        </w:rPr>
        <w:t xml:space="preserve">ligāciju dzēšanas. Saskaņā ar šo līgumu garantija tika izbeigta un Pārējo rezervju un uzkrājuma </w:t>
      </w:r>
      <w:r w:rsidRPr="00140CE4">
        <w:rPr>
          <w:rFonts w:ascii="Arial Narrow" w:eastAsia="Arial Narrow" w:hAnsi="Arial Narrow" w:cs="Arial Narrow"/>
          <w:sz w:val="16"/>
          <w:szCs w:val="16"/>
          <w:lang w:val="lv-LV"/>
        </w:rPr>
        <w:t>atzīšanu</w:t>
      </w:r>
      <w:r>
        <w:rPr>
          <w:rFonts w:ascii="Arial Narrow" w:eastAsia="Arial Narrow" w:hAnsi="Arial Narrow" w:cs="Arial Narrow"/>
          <w:sz w:val="16"/>
          <w:szCs w:val="16"/>
          <w:lang w:val="lv-LV"/>
        </w:rPr>
        <w:t xml:space="preserve"> </w:t>
      </w:r>
      <w:r w:rsidRPr="001C305B">
        <w:rPr>
          <w:rFonts w:ascii="Arial Narrow" w:eastAsia="Arial Narrow" w:hAnsi="Arial Narrow" w:cs="Arial Narrow"/>
          <w:sz w:val="16"/>
          <w:szCs w:val="16"/>
          <w:lang w:val="lv-LV"/>
        </w:rPr>
        <w:t>tika pārtraukta.</w:t>
      </w:r>
    </w:p>
    <w:p w:rsidR="00E858B6" w:rsidRPr="00A01C4D" w:rsidP="00005D0D" w14:paraId="50A298D4" w14:textId="77777777">
      <w:pPr>
        <w:spacing w:after="0" w:line="360" w:lineRule="auto"/>
        <w:jc w:val="both"/>
        <w:rPr>
          <w:rFonts w:ascii="Arial Narrow" w:eastAsia="Arial Narrow" w:hAnsi="Arial Narrow" w:cs="Arial Narrow"/>
          <w:sz w:val="16"/>
          <w:szCs w:val="16"/>
          <w:lang w:val="lv-LV"/>
        </w:rPr>
      </w:pPr>
    </w:p>
    <w:p w:rsidR="00DA4980" w:rsidRPr="00DA4980" w:rsidP="00DA4980" w14:paraId="5B0B446A" w14:textId="64FA292C">
      <w:pPr>
        <w:spacing w:after="0" w:line="360" w:lineRule="auto"/>
        <w:jc w:val="both"/>
        <w:rPr>
          <w:rFonts w:ascii="Arial Narrow" w:eastAsia="Arial Narrow" w:hAnsi="Arial Narrow" w:cs="Arial Narrow"/>
          <w:sz w:val="16"/>
          <w:szCs w:val="16"/>
          <w:lang w:val="lv-LV"/>
        </w:rPr>
      </w:pPr>
      <w:r w:rsidRPr="00A01C4D">
        <w:rPr>
          <w:rFonts w:ascii="Arial Narrow" w:eastAsia="Arial Narrow" w:hAnsi="Arial Narrow" w:cs="Arial Narrow"/>
          <w:sz w:val="16"/>
          <w:szCs w:val="16"/>
          <w:lang w:val="lv-LV"/>
        </w:rPr>
        <w:t>(</w:t>
      </w:r>
      <w:r w:rsidR="00005D0D">
        <w:rPr>
          <w:rFonts w:ascii="Arial Narrow" w:eastAsia="Arial Narrow" w:hAnsi="Arial Narrow" w:cs="Arial Narrow"/>
          <w:sz w:val="16"/>
          <w:szCs w:val="16"/>
          <w:lang w:val="lv-LV"/>
        </w:rPr>
        <w:t>4</w:t>
      </w:r>
      <w:r w:rsidRPr="00A01C4D">
        <w:rPr>
          <w:rFonts w:ascii="Arial Narrow" w:eastAsia="Arial Narrow" w:hAnsi="Arial Narrow" w:cs="Arial Narrow"/>
          <w:sz w:val="16"/>
          <w:szCs w:val="16"/>
          <w:lang w:val="lv-LV"/>
        </w:rPr>
        <w:t xml:space="preserve">) </w:t>
      </w:r>
      <w:r w:rsidRPr="00DA4980">
        <w:rPr>
          <w:rFonts w:ascii="Arial Narrow" w:eastAsia="Arial Narrow" w:hAnsi="Arial Narrow" w:cs="Arial Narrow"/>
          <w:sz w:val="16"/>
          <w:szCs w:val="16"/>
          <w:lang w:val="lv-LV"/>
        </w:rPr>
        <w:t xml:space="preserve">2018. gada 26. februārī Mātes sabiedrība noslēdza galvojuma līgumu ar Ardshinbank AS un Mogo LLC (Gruzija), lai </w:t>
      </w:r>
      <w:r w:rsidRPr="00DA4980">
        <w:rPr>
          <w:rFonts w:ascii="Arial Narrow" w:eastAsia="Arial Narrow" w:hAnsi="Arial Narrow" w:cs="Arial Narrow"/>
          <w:sz w:val="16"/>
          <w:szCs w:val="16"/>
          <w:lang w:val="lv-LV"/>
        </w:rPr>
        <w:t>nodrošinātu Mogo LLC saistības pret Ardshinbank CJSC, kas izriet no aizdevuma līguma, kas noslēgts starp Ardshinbank CJSC un Mogo LLC.</w:t>
      </w:r>
    </w:p>
    <w:p w:rsidR="00DA4980" w:rsidP="00E858B6" w14:paraId="0A435FFC" w14:textId="332803F6">
      <w:pPr>
        <w:spacing w:after="0" w:line="360" w:lineRule="auto"/>
        <w:jc w:val="both"/>
        <w:rPr>
          <w:rFonts w:ascii="Arial Narrow" w:eastAsia="Arial Narrow" w:hAnsi="Arial Narrow" w:cs="Arial Narrow"/>
          <w:sz w:val="16"/>
          <w:szCs w:val="16"/>
          <w:lang w:val="lv-LV"/>
        </w:rPr>
      </w:pPr>
      <w:r w:rsidRPr="00DA4980">
        <w:rPr>
          <w:rFonts w:ascii="Arial Narrow" w:eastAsia="Arial Narrow" w:hAnsi="Arial Narrow" w:cs="Arial Narrow"/>
          <w:sz w:val="16"/>
          <w:szCs w:val="16"/>
          <w:lang w:val="lv-LV"/>
        </w:rPr>
        <w:t>Mātes sabiedrība nav saņēmusi atlīdzību par šo garantiju. Finanšu garantiju patiesā vērtība ir atzīta kā saistības un paš</w:t>
      </w:r>
      <w:r w:rsidRPr="00DA4980">
        <w:rPr>
          <w:rFonts w:ascii="Arial Narrow" w:eastAsia="Arial Narrow" w:hAnsi="Arial Narrow" w:cs="Arial Narrow"/>
          <w:sz w:val="16"/>
          <w:szCs w:val="16"/>
          <w:lang w:val="lv-LV"/>
        </w:rPr>
        <w:t xml:space="preserve">u kapitāla sadale pārējo rezervju sastāvā. Finanšu garantijas saistību apjoms tiek amortizēts ieņēmumu sastāvā saskaņā ar SFPS Nr. 15 principiem </w:t>
      </w:r>
      <w:r w:rsidRPr="00A01C4D">
        <w:rPr>
          <w:rFonts w:ascii="Arial Narrow" w:eastAsia="Arial Narrow" w:hAnsi="Arial Narrow" w:cs="Arial Narrow"/>
          <w:sz w:val="16"/>
          <w:szCs w:val="16"/>
          <w:lang w:val="lv-LV"/>
        </w:rPr>
        <w:t>(</w:t>
      </w:r>
      <w:r w:rsidRPr="00A01C4D">
        <w:rPr>
          <w:rFonts w:ascii="Arial Narrow" w:eastAsia="Arial Narrow" w:hAnsi="Arial Narrow" w:cs="Arial Narrow"/>
          <w:sz w:val="16"/>
          <w:szCs w:val="16"/>
          <w:lang w:val="lv-LV"/>
        </w:rPr>
        <w:t>14</w:t>
      </w:r>
      <w:r w:rsidRPr="00A01C4D">
        <w:rPr>
          <w:rFonts w:ascii="Arial Narrow" w:eastAsia="Arial Narrow" w:hAnsi="Arial Narrow" w:cs="Arial Narrow"/>
          <w:sz w:val="16"/>
          <w:szCs w:val="16"/>
          <w:lang w:val="lv-LV"/>
        </w:rPr>
        <w:t>. piezīme</w:t>
      </w:r>
      <w:r w:rsidRPr="00DA4980">
        <w:rPr>
          <w:rFonts w:ascii="Arial Narrow" w:eastAsia="Arial Narrow" w:hAnsi="Arial Narrow" w:cs="Arial Narrow"/>
          <w:sz w:val="16"/>
          <w:szCs w:val="16"/>
          <w:lang w:val="lv-LV"/>
        </w:rPr>
        <w:t>) lineāri līdz obligāciju dzēšanas termiņam</w:t>
      </w:r>
      <w:r>
        <w:rPr>
          <w:rFonts w:ascii="Arial Narrow" w:eastAsia="Arial Narrow" w:hAnsi="Arial Narrow" w:cs="Arial Narrow"/>
          <w:sz w:val="16"/>
          <w:szCs w:val="16"/>
          <w:lang w:val="lv-LV"/>
        </w:rPr>
        <w:t xml:space="preserve">. </w:t>
      </w:r>
    </w:p>
    <w:p w:rsidR="00E858B6" w:rsidRPr="00A01C4D" w:rsidP="00E858B6" w14:paraId="212CBEA0" w14:textId="692775CE">
      <w:pPr>
        <w:spacing w:after="0" w:line="360" w:lineRule="auto"/>
        <w:jc w:val="both"/>
        <w:rPr>
          <w:rFonts w:ascii="Arial Narrow" w:eastAsia="Arial Narrow" w:hAnsi="Arial Narrow" w:cs="Arial Narrow"/>
          <w:sz w:val="16"/>
          <w:szCs w:val="16"/>
          <w:lang w:val="lv-LV"/>
        </w:rPr>
      </w:pPr>
      <w:r w:rsidRPr="00E858B6">
        <w:rPr>
          <w:rFonts w:ascii="Arial Narrow" w:eastAsia="Arial Narrow" w:hAnsi="Arial Narrow" w:cs="Arial Narrow"/>
          <w:sz w:val="16"/>
          <w:szCs w:val="16"/>
          <w:lang w:val="lv-LV"/>
        </w:rPr>
        <w:t xml:space="preserve">Galvojuma līgumā ir būtiskas izmaiņas aizdevuma </w:t>
      </w:r>
      <w:r w:rsidRPr="00E858B6">
        <w:rPr>
          <w:rFonts w:ascii="Arial Narrow" w:eastAsia="Arial Narrow" w:hAnsi="Arial Narrow" w:cs="Arial Narrow"/>
          <w:sz w:val="16"/>
          <w:szCs w:val="16"/>
          <w:lang w:val="lv-LV"/>
        </w:rPr>
        <w:t>līgumā, tāpēc iepriekšējie garantijas uzkrājumi un citas rezerves tika izslēgtas.</w:t>
      </w:r>
    </w:p>
    <w:p w:rsidR="00497629" w:rsidRPr="00497629" w:rsidP="00497629" w14:paraId="6B9D521D" w14:textId="733A873F">
      <w:pPr>
        <w:spacing w:after="0" w:line="360" w:lineRule="auto"/>
        <w:jc w:val="both"/>
        <w:rPr>
          <w:rFonts w:ascii="Arial Narrow" w:eastAsia="Arial Narrow" w:hAnsi="Arial Narrow" w:cs="Arial Narrow"/>
          <w:sz w:val="16"/>
          <w:szCs w:val="16"/>
          <w:lang w:val="lv-LV"/>
        </w:rPr>
      </w:pPr>
    </w:p>
    <w:p w:rsidR="00714703" w:rsidRPr="00242082" w:rsidP="0052067F" w14:paraId="79AB19B9" w14:textId="5F376254">
      <w:pPr>
        <w:spacing w:after="0" w:line="360" w:lineRule="auto"/>
        <w:jc w:val="both"/>
        <w:rPr>
          <w:rFonts w:ascii="Arial Narrow" w:eastAsia="Arial Narrow" w:hAnsi="Arial Narrow" w:cs="Arial Narrow"/>
          <w:b/>
          <w:bCs/>
          <w:sz w:val="16"/>
          <w:szCs w:val="16"/>
        </w:rPr>
      </w:pPr>
      <w:r>
        <w:t xml:space="preserve"> </w:t>
      </w:r>
    </w:p>
    <w:p w:rsidR="00860A5B" w:rsidP="0086125C" w14:paraId="6332604C" w14:textId="77777777">
      <w:pPr>
        <w:spacing w:after="0" w:line="360" w:lineRule="auto"/>
        <w:jc w:val="both"/>
        <w:rPr>
          <w:rFonts w:ascii="Arial Narrow" w:eastAsia="Arial Narrow" w:hAnsi="Arial Narrow" w:cs="Arial Narrow"/>
          <w:b/>
          <w:bCs/>
          <w:sz w:val="16"/>
          <w:szCs w:val="16"/>
        </w:rPr>
      </w:pPr>
      <w:bookmarkStart w:id="1231" w:name="RG_MARKER_6457"/>
      <w:bookmarkStart w:id="1232" w:name="RG_MARKER_6669"/>
      <w:bookmarkEnd w:id="1232"/>
      <w:bookmarkEnd w:id="1231"/>
    </w:p>
    <w:p w:rsidR="00DB36E3" w:rsidRPr="0086125C" w:rsidP="0086125C" w14:paraId="6B13979F" w14:textId="4166D86F">
      <w:pPr>
        <w:spacing w:after="0" w:line="360" w:lineRule="auto"/>
        <w:jc w:val="both"/>
        <w:rPr>
          <w:rFonts w:ascii="Arial Narrow" w:eastAsia="Arial Narrow" w:hAnsi="Arial Narrow" w:cs="Arial Narrow"/>
          <w:sz w:val="16"/>
          <w:szCs w:val="16"/>
        </w:rPr>
      </w:pPr>
      <w:r>
        <w:rPr>
          <w:rFonts w:ascii="Arial Narrow" w:eastAsia="Arial Narrow" w:hAnsi="Arial Narrow" w:cs="Arial Narrow"/>
          <w:b/>
          <w:bCs/>
          <w:sz w:val="16"/>
          <w:szCs w:val="16"/>
        </w:rPr>
        <w:t>40</w:t>
      </w:r>
      <w:r w:rsidRPr="0086125C">
        <w:rPr>
          <w:rFonts w:ascii="Arial Narrow" w:eastAsia="Arial Narrow" w:hAnsi="Arial Narrow" w:cs="Arial Narrow"/>
          <w:b/>
          <w:bCs/>
          <w:sz w:val="16"/>
          <w:szCs w:val="16"/>
        </w:rPr>
        <w:t xml:space="preserve">. </w:t>
      </w:r>
      <w:r w:rsidRPr="0086125C">
        <w:rPr>
          <w:rFonts w:ascii="Arial Narrow" w:eastAsia="Arial Narrow" w:hAnsi="Arial Narrow" w:cs="Arial Narrow"/>
          <w:b/>
          <w:bCs/>
          <w:sz w:val="16"/>
          <w:szCs w:val="16"/>
        </w:rPr>
        <w:t>Finanšu</w:t>
      </w:r>
      <w:r w:rsidRPr="0086125C">
        <w:rPr>
          <w:rFonts w:ascii="Arial Narrow" w:eastAsia="Arial Narrow" w:hAnsi="Arial Narrow" w:cs="Arial Narrow"/>
          <w:b/>
          <w:bCs/>
          <w:sz w:val="16"/>
          <w:szCs w:val="16"/>
        </w:rPr>
        <w:t xml:space="preserve"> </w:t>
      </w:r>
      <w:r w:rsidRPr="0086125C">
        <w:rPr>
          <w:rFonts w:ascii="Arial Narrow" w:eastAsia="Arial Narrow" w:hAnsi="Arial Narrow" w:cs="Arial Narrow"/>
          <w:b/>
          <w:bCs/>
          <w:sz w:val="16"/>
          <w:szCs w:val="16"/>
        </w:rPr>
        <w:t>risku</w:t>
      </w:r>
      <w:r w:rsidRPr="0086125C">
        <w:rPr>
          <w:rFonts w:ascii="Arial Narrow" w:eastAsia="Arial Narrow" w:hAnsi="Arial Narrow" w:cs="Arial Narrow"/>
          <w:b/>
          <w:bCs/>
          <w:sz w:val="16"/>
          <w:szCs w:val="16"/>
        </w:rPr>
        <w:t xml:space="preserve"> </w:t>
      </w:r>
      <w:r w:rsidRPr="0086125C">
        <w:rPr>
          <w:rFonts w:ascii="Arial Narrow" w:eastAsia="Arial Narrow" w:hAnsi="Arial Narrow" w:cs="Arial Narrow"/>
          <w:b/>
          <w:bCs/>
          <w:sz w:val="16"/>
          <w:szCs w:val="16"/>
        </w:rPr>
        <w:t>vadība</w:t>
      </w:r>
    </w:p>
    <w:p w:rsidR="0086125C" w:rsidP="0086125C" w14:paraId="26947BA8" w14:textId="77777777">
      <w:pPr>
        <w:spacing w:after="0" w:line="360" w:lineRule="auto"/>
        <w:jc w:val="both"/>
        <w:rPr>
          <w:rFonts w:ascii="Arial Narrow" w:eastAsia="Arial Narrow" w:hAnsi="Arial Narrow" w:cs="Arial Narrow"/>
          <w:sz w:val="16"/>
          <w:szCs w:val="16"/>
        </w:rPr>
      </w:pPr>
    </w:p>
    <w:p w:rsidR="00DB36E3" w:rsidRPr="0086125C" w:rsidP="0086125C" w14:paraId="49936B14" w14:textId="2C2F1DBC">
      <w:pPr>
        <w:spacing w:after="0" w:line="360" w:lineRule="auto"/>
        <w:ind w:firstLine="720"/>
        <w:jc w:val="both"/>
        <w:rPr>
          <w:rFonts w:ascii="Arial Narrow" w:eastAsia="Arial Narrow" w:hAnsi="Arial Narrow" w:cs="Arial Narrow"/>
          <w:sz w:val="16"/>
          <w:szCs w:val="16"/>
        </w:rPr>
      </w:pPr>
      <w:r w:rsidRPr="0086125C">
        <w:rPr>
          <w:rFonts w:ascii="Arial Narrow" w:eastAsia="Arial Narrow" w:hAnsi="Arial Narrow" w:cs="Arial Narrow"/>
          <w:sz w:val="16"/>
          <w:szCs w:val="16"/>
        </w:rPr>
        <w:t>Risku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vadības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funkcija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Koncernā</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tiek</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īstenota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attiecībā</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uz</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finanšu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riskiem</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operacionālajiem</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riskiem</w:t>
      </w:r>
      <w:r w:rsidRPr="0086125C">
        <w:rPr>
          <w:rFonts w:ascii="Arial Narrow" w:eastAsia="Arial Narrow" w:hAnsi="Arial Narrow" w:cs="Arial Narrow"/>
          <w:sz w:val="16"/>
          <w:szCs w:val="16"/>
        </w:rPr>
        <w:t xml:space="preserve"> un </w:t>
      </w:r>
      <w:r w:rsidRPr="0086125C">
        <w:rPr>
          <w:rFonts w:ascii="Arial Narrow" w:eastAsia="Arial Narrow" w:hAnsi="Arial Narrow" w:cs="Arial Narrow"/>
          <w:sz w:val="16"/>
          <w:szCs w:val="16"/>
        </w:rPr>
        <w:t>juridiskajiem</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riskiem</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Finanšu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risku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veido</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tirgus</w:t>
      </w:r>
      <w:r w:rsidRPr="0086125C">
        <w:rPr>
          <w:rFonts w:ascii="Arial Narrow" w:eastAsia="Arial Narrow" w:hAnsi="Arial Narrow" w:cs="Arial Narrow"/>
          <w:sz w:val="16"/>
          <w:szCs w:val="16"/>
        </w:rPr>
        <w:t xml:space="preserve"> risks (</w:t>
      </w:r>
      <w:r w:rsidRPr="0086125C">
        <w:rPr>
          <w:rFonts w:ascii="Arial Narrow" w:eastAsia="Arial Narrow" w:hAnsi="Arial Narrow" w:cs="Arial Narrow"/>
          <w:sz w:val="16"/>
          <w:szCs w:val="16"/>
        </w:rPr>
        <w:t>ieskaitot</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valūtas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risku</w:t>
      </w:r>
      <w:r w:rsidRPr="0086125C">
        <w:rPr>
          <w:rFonts w:ascii="Arial Narrow" w:eastAsia="Arial Narrow" w:hAnsi="Arial Narrow" w:cs="Arial Narrow"/>
          <w:sz w:val="16"/>
          <w:szCs w:val="16"/>
        </w:rPr>
        <w:t xml:space="preserve"> un </w:t>
      </w:r>
      <w:r w:rsidRPr="0086125C">
        <w:rPr>
          <w:rFonts w:ascii="Arial Narrow" w:eastAsia="Arial Narrow" w:hAnsi="Arial Narrow" w:cs="Arial Narrow"/>
          <w:sz w:val="16"/>
          <w:szCs w:val="16"/>
        </w:rPr>
        <w:t>procentu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likmju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risku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kredītrisks</w:t>
      </w:r>
      <w:r w:rsidRPr="0086125C">
        <w:rPr>
          <w:rFonts w:ascii="Arial Narrow" w:eastAsia="Arial Narrow" w:hAnsi="Arial Narrow" w:cs="Arial Narrow"/>
          <w:sz w:val="16"/>
          <w:szCs w:val="16"/>
        </w:rPr>
        <w:t xml:space="preserve"> un </w:t>
      </w:r>
      <w:r w:rsidRPr="0086125C">
        <w:rPr>
          <w:rFonts w:ascii="Arial Narrow" w:eastAsia="Arial Narrow" w:hAnsi="Arial Narrow" w:cs="Arial Narrow"/>
          <w:sz w:val="16"/>
          <w:szCs w:val="16"/>
        </w:rPr>
        <w:t>likviditātes</w:t>
      </w:r>
      <w:r w:rsidRPr="0086125C">
        <w:rPr>
          <w:rFonts w:ascii="Arial Narrow" w:eastAsia="Arial Narrow" w:hAnsi="Arial Narrow" w:cs="Arial Narrow"/>
          <w:sz w:val="16"/>
          <w:szCs w:val="16"/>
        </w:rPr>
        <w:t xml:space="preserve"> risks. </w:t>
      </w:r>
      <w:r w:rsidRPr="0086125C">
        <w:rPr>
          <w:rFonts w:ascii="Arial Narrow" w:eastAsia="Arial Narrow" w:hAnsi="Arial Narrow" w:cs="Arial Narrow"/>
          <w:sz w:val="16"/>
          <w:szCs w:val="16"/>
        </w:rPr>
        <w:t>Finanšu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r</w:t>
      </w:r>
      <w:r w:rsidRPr="0086125C">
        <w:rPr>
          <w:rFonts w:ascii="Arial Narrow" w:eastAsia="Arial Narrow" w:hAnsi="Arial Narrow" w:cs="Arial Narrow"/>
          <w:sz w:val="16"/>
          <w:szCs w:val="16"/>
        </w:rPr>
        <w:t>isku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vadības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funkcijas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galvenais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mērķis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ir</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noteikt</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riska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limitus</w:t>
      </w:r>
      <w:r w:rsidRPr="0086125C">
        <w:rPr>
          <w:rFonts w:ascii="Arial Narrow" w:eastAsia="Arial Narrow" w:hAnsi="Arial Narrow" w:cs="Arial Narrow"/>
          <w:sz w:val="16"/>
          <w:szCs w:val="16"/>
        </w:rPr>
        <w:t xml:space="preserve"> un </w:t>
      </w:r>
      <w:r w:rsidRPr="0086125C">
        <w:rPr>
          <w:rFonts w:ascii="Arial Narrow" w:eastAsia="Arial Narrow" w:hAnsi="Arial Narrow" w:cs="Arial Narrow"/>
          <w:sz w:val="16"/>
          <w:szCs w:val="16"/>
        </w:rPr>
        <w:t>nodrošināt</w:t>
      </w:r>
      <w:r w:rsidRPr="0086125C">
        <w:rPr>
          <w:rFonts w:ascii="Arial Narrow" w:eastAsia="Arial Narrow" w:hAnsi="Arial Narrow" w:cs="Arial Narrow"/>
          <w:sz w:val="16"/>
          <w:szCs w:val="16"/>
        </w:rPr>
        <w:t xml:space="preserve">, ka </w:t>
      </w:r>
      <w:r w:rsidRPr="0086125C">
        <w:rPr>
          <w:rFonts w:ascii="Arial Narrow" w:eastAsia="Arial Narrow" w:hAnsi="Arial Narrow" w:cs="Arial Narrow"/>
          <w:sz w:val="16"/>
          <w:szCs w:val="16"/>
        </w:rPr>
        <w:t>riska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darījumi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tiek</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īstenoti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ievērojot</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noteiktos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limitus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Operacionālā</w:t>
      </w:r>
      <w:r w:rsidRPr="0086125C">
        <w:rPr>
          <w:rFonts w:ascii="Arial Narrow" w:eastAsia="Arial Narrow" w:hAnsi="Arial Narrow" w:cs="Arial Narrow"/>
          <w:sz w:val="16"/>
          <w:szCs w:val="16"/>
        </w:rPr>
        <w:t xml:space="preserve"> un </w:t>
      </w:r>
      <w:r w:rsidRPr="0086125C">
        <w:rPr>
          <w:rFonts w:ascii="Arial Narrow" w:eastAsia="Arial Narrow" w:hAnsi="Arial Narrow" w:cs="Arial Narrow"/>
          <w:sz w:val="16"/>
          <w:szCs w:val="16"/>
        </w:rPr>
        <w:t>juridisko</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atbilstības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regulatīvo</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risku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vadības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funkcijas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mērķis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ir</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nodrošināt</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iekšējo</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politiku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 xml:space="preserve">un </w:t>
      </w:r>
      <w:r w:rsidRPr="0086125C">
        <w:rPr>
          <w:rFonts w:ascii="Arial Narrow" w:eastAsia="Arial Narrow" w:hAnsi="Arial Narrow" w:cs="Arial Narrow"/>
          <w:sz w:val="16"/>
          <w:szCs w:val="16"/>
        </w:rPr>
        <w:t>procedūru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pienācīgu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darbību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ar</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mērķi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ierobežot</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operacionālos</w:t>
      </w:r>
      <w:r w:rsidRPr="0086125C">
        <w:rPr>
          <w:rFonts w:ascii="Arial Narrow" w:eastAsia="Arial Narrow" w:hAnsi="Arial Narrow" w:cs="Arial Narrow"/>
          <w:sz w:val="16"/>
          <w:szCs w:val="16"/>
        </w:rPr>
        <w:t xml:space="preserve"> un </w:t>
      </w:r>
      <w:r w:rsidRPr="0086125C">
        <w:rPr>
          <w:rFonts w:ascii="Arial Narrow" w:eastAsia="Arial Narrow" w:hAnsi="Arial Narrow" w:cs="Arial Narrow"/>
          <w:sz w:val="16"/>
          <w:szCs w:val="16"/>
        </w:rPr>
        <w:t>juridiskos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riskus</w:t>
      </w:r>
      <w:r w:rsidRPr="0086125C">
        <w:rPr>
          <w:rFonts w:ascii="Arial Narrow" w:eastAsia="Arial Narrow" w:hAnsi="Arial Narrow" w:cs="Arial Narrow"/>
          <w:sz w:val="16"/>
          <w:szCs w:val="16"/>
        </w:rPr>
        <w:t>.</w:t>
      </w:r>
    </w:p>
    <w:p w:rsidR="0086125C" w:rsidP="0086125C" w14:paraId="48BF3AC8" w14:textId="77777777">
      <w:pPr>
        <w:spacing w:after="0" w:line="360" w:lineRule="auto"/>
        <w:jc w:val="both"/>
        <w:rPr>
          <w:rFonts w:ascii="Arial Narrow" w:eastAsia="Arial Narrow" w:hAnsi="Arial Narrow" w:cs="Arial Narrow"/>
          <w:i/>
          <w:iCs/>
          <w:sz w:val="16"/>
          <w:szCs w:val="16"/>
        </w:rPr>
      </w:pPr>
    </w:p>
    <w:p w:rsidR="00DB36E3" w:rsidRPr="0086125C" w:rsidP="0086125C" w14:paraId="377FA96B" w14:textId="2958A503">
      <w:pPr>
        <w:spacing w:after="0" w:line="360" w:lineRule="auto"/>
        <w:jc w:val="both"/>
        <w:rPr>
          <w:rFonts w:ascii="Arial Narrow" w:eastAsia="Arial Narrow" w:hAnsi="Arial Narrow" w:cs="Arial Narrow"/>
          <w:i/>
          <w:iCs/>
          <w:sz w:val="16"/>
          <w:szCs w:val="16"/>
        </w:rPr>
      </w:pPr>
      <w:r w:rsidRPr="0086125C">
        <w:rPr>
          <w:rFonts w:ascii="Arial Narrow" w:eastAsia="Arial Narrow" w:hAnsi="Arial Narrow" w:cs="Arial Narrow"/>
          <w:i/>
          <w:iCs/>
          <w:sz w:val="16"/>
          <w:szCs w:val="16"/>
        </w:rPr>
        <w:t>Operacionālais</w:t>
      </w:r>
      <w:r w:rsidRPr="0086125C">
        <w:rPr>
          <w:rFonts w:ascii="Arial Narrow" w:eastAsia="Arial Narrow" w:hAnsi="Arial Narrow" w:cs="Arial Narrow"/>
          <w:i/>
          <w:iCs/>
          <w:sz w:val="16"/>
          <w:szCs w:val="16"/>
        </w:rPr>
        <w:t xml:space="preserve"> risks</w:t>
      </w:r>
    </w:p>
    <w:p w:rsidR="00DB36E3" w:rsidRPr="0086125C" w:rsidP="0086125C" w14:paraId="2943F681" w14:textId="25097ED7">
      <w:pPr>
        <w:spacing w:after="0" w:line="360" w:lineRule="auto"/>
        <w:ind w:firstLine="720"/>
        <w:jc w:val="both"/>
        <w:rPr>
          <w:rFonts w:ascii="Arial Narrow" w:eastAsia="Arial Narrow" w:hAnsi="Arial Narrow" w:cs="Arial Narrow"/>
          <w:sz w:val="16"/>
          <w:szCs w:val="16"/>
        </w:rPr>
      </w:pPr>
      <w:r w:rsidRPr="0086125C">
        <w:rPr>
          <w:rFonts w:ascii="Arial Narrow" w:eastAsia="Arial Narrow" w:hAnsi="Arial Narrow" w:cs="Arial Narrow"/>
          <w:sz w:val="16"/>
          <w:szCs w:val="16"/>
        </w:rPr>
        <w:t>Koncerna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operacionālie</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riski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tiek</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pārvaldīti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īstenojot</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sekmīgas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risku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apdrošināšanas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procedūras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aizdevumu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izsniegšanas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procesa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ietvaros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kā</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arī</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efe</w:t>
      </w:r>
      <w:r w:rsidRPr="0086125C">
        <w:rPr>
          <w:rFonts w:ascii="Arial Narrow" w:eastAsia="Arial Narrow" w:hAnsi="Arial Narrow" w:cs="Arial Narrow"/>
          <w:sz w:val="16"/>
          <w:szCs w:val="16"/>
        </w:rPr>
        <w:t>ktīvas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parādu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piedziņas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procedūras</w:t>
      </w:r>
      <w:r w:rsidRPr="0086125C">
        <w:rPr>
          <w:rFonts w:ascii="Arial Narrow" w:eastAsia="Arial Narrow" w:hAnsi="Arial Narrow" w:cs="Arial Narrow"/>
          <w:sz w:val="16"/>
          <w:szCs w:val="16"/>
        </w:rPr>
        <w:t>.</w:t>
      </w:r>
    </w:p>
    <w:p w:rsidR="0086125C" w:rsidP="0086125C" w14:paraId="67B98355" w14:textId="77777777">
      <w:pPr>
        <w:spacing w:after="0" w:line="360" w:lineRule="auto"/>
        <w:jc w:val="both"/>
        <w:rPr>
          <w:rFonts w:ascii="Arial Narrow" w:eastAsia="Arial Narrow" w:hAnsi="Arial Narrow" w:cs="Arial Narrow"/>
          <w:i/>
          <w:iCs/>
          <w:sz w:val="16"/>
          <w:szCs w:val="16"/>
        </w:rPr>
      </w:pPr>
    </w:p>
    <w:p w:rsidR="00DB36E3" w:rsidRPr="0086125C" w:rsidP="0086125C" w14:paraId="2F548463" w14:textId="6B3EEA90">
      <w:pPr>
        <w:spacing w:after="0" w:line="360" w:lineRule="auto"/>
        <w:jc w:val="both"/>
        <w:rPr>
          <w:rFonts w:ascii="Arial Narrow" w:eastAsia="Arial Narrow" w:hAnsi="Arial Narrow" w:cs="Arial Narrow"/>
          <w:i/>
          <w:iCs/>
          <w:sz w:val="16"/>
          <w:szCs w:val="16"/>
        </w:rPr>
      </w:pPr>
      <w:r w:rsidRPr="0086125C">
        <w:rPr>
          <w:rFonts w:ascii="Arial Narrow" w:eastAsia="Arial Narrow" w:hAnsi="Arial Narrow" w:cs="Arial Narrow"/>
          <w:i/>
          <w:iCs/>
          <w:sz w:val="16"/>
          <w:szCs w:val="16"/>
        </w:rPr>
        <w:t>Juridiskais</w:t>
      </w:r>
      <w:r w:rsidRPr="0086125C">
        <w:rPr>
          <w:rFonts w:ascii="Arial Narrow" w:eastAsia="Arial Narrow" w:hAnsi="Arial Narrow" w:cs="Arial Narrow"/>
          <w:i/>
          <w:iCs/>
          <w:sz w:val="16"/>
          <w:szCs w:val="16"/>
        </w:rPr>
        <w:t xml:space="preserve"> risks</w:t>
      </w:r>
    </w:p>
    <w:p w:rsidR="00DB36E3" w:rsidRPr="0086125C" w:rsidP="0086125C" w14:paraId="5867956B" w14:textId="4234603C">
      <w:pPr>
        <w:spacing w:after="0" w:line="360" w:lineRule="auto"/>
        <w:ind w:firstLine="720"/>
        <w:jc w:val="both"/>
        <w:rPr>
          <w:rFonts w:ascii="Arial Narrow" w:eastAsia="Arial Narrow" w:hAnsi="Arial Narrow" w:cs="Arial Narrow"/>
          <w:sz w:val="16"/>
          <w:szCs w:val="16"/>
        </w:rPr>
      </w:pPr>
      <w:r w:rsidRPr="0086125C">
        <w:rPr>
          <w:rFonts w:ascii="Arial Narrow" w:eastAsia="Arial Narrow" w:hAnsi="Arial Narrow" w:cs="Arial Narrow"/>
          <w:sz w:val="16"/>
          <w:szCs w:val="16"/>
        </w:rPr>
        <w:t>Juridisko</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risku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galvenokārt</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rada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izmaiņas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tiesību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aktos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Šis</w:t>
      </w:r>
      <w:r w:rsidRPr="0086125C">
        <w:rPr>
          <w:rFonts w:ascii="Arial Narrow" w:eastAsia="Arial Narrow" w:hAnsi="Arial Narrow" w:cs="Arial Narrow"/>
          <w:sz w:val="16"/>
          <w:szCs w:val="16"/>
        </w:rPr>
        <w:t xml:space="preserve"> risks </w:t>
      </w:r>
      <w:r w:rsidRPr="0086125C">
        <w:rPr>
          <w:rFonts w:ascii="Arial Narrow" w:eastAsia="Arial Narrow" w:hAnsi="Arial Narrow" w:cs="Arial Narrow"/>
          <w:sz w:val="16"/>
          <w:szCs w:val="16"/>
        </w:rPr>
        <w:t>tiek</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sekmīgi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pārvaldīts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ar</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Juridiskā</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departamenta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palīdzību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kā</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arī</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piesaistot</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ārējus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juriskonsultus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kuri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cieši</w:t>
      </w:r>
      <w:r w:rsidRPr="0086125C">
        <w:rPr>
          <w:rFonts w:ascii="Arial Narrow" w:eastAsia="Arial Narrow" w:hAnsi="Arial Narrow" w:cs="Arial Narrow"/>
          <w:sz w:val="16"/>
          <w:szCs w:val="16"/>
        </w:rPr>
        <w:t xml:space="preserve"> seko </w:t>
      </w:r>
      <w:r w:rsidRPr="0086125C">
        <w:rPr>
          <w:rFonts w:ascii="Arial Narrow" w:eastAsia="Arial Narrow" w:hAnsi="Arial Narrow" w:cs="Arial Narrow"/>
          <w:sz w:val="16"/>
          <w:szCs w:val="16"/>
        </w:rPr>
        <w:t>līdzi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jaunākajām</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tiesību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aktu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izmaiņām</w:t>
      </w:r>
      <w:r w:rsidRPr="0086125C">
        <w:rPr>
          <w:rFonts w:ascii="Arial Narrow" w:eastAsia="Arial Narrow" w:hAnsi="Arial Narrow" w:cs="Arial Narrow"/>
          <w:sz w:val="16"/>
          <w:szCs w:val="16"/>
        </w:rPr>
        <w:t xml:space="preserve">, kas </w:t>
      </w:r>
      <w:r w:rsidRPr="0086125C">
        <w:rPr>
          <w:rFonts w:ascii="Arial Narrow" w:eastAsia="Arial Narrow" w:hAnsi="Arial Narrow" w:cs="Arial Narrow"/>
          <w:sz w:val="16"/>
          <w:szCs w:val="16"/>
        </w:rPr>
        <w:t>varētu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ietekmēt</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Koncerna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komercdarbību</w:t>
      </w:r>
      <w:r w:rsidRPr="0086125C">
        <w:rPr>
          <w:rFonts w:ascii="Arial Narrow" w:eastAsia="Arial Narrow" w:hAnsi="Arial Narrow" w:cs="Arial Narrow"/>
          <w:sz w:val="16"/>
          <w:szCs w:val="16"/>
        </w:rPr>
        <w:t>.</w:t>
      </w:r>
      <w:r w:rsidRPr="0086125C">
        <w:rPr>
          <w:rFonts w:ascii="Arial Narrow" w:eastAsia="Arial Narrow" w:hAnsi="Arial Narrow" w:cs="Arial Narrow"/>
          <w:sz w:val="16"/>
          <w:szCs w:val="16"/>
        </w:rPr>
        <w:tab/>
      </w:r>
    </w:p>
    <w:p w:rsidR="00DB36E3" w:rsidRPr="0086125C" w:rsidP="0086125C" w14:paraId="4B05D49C" w14:textId="2143E67F">
      <w:pPr>
        <w:spacing w:after="0" w:line="360" w:lineRule="auto"/>
        <w:jc w:val="both"/>
        <w:rPr>
          <w:rFonts w:ascii="Arial Narrow" w:eastAsia="Arial Narrow" w:hAnsi="Arial Narrow" w:cs="Arial Narrow"/>
          <w:sz w:val="16"/>
          <w:szCs w:val="16"/>
        </w:rPr>
      </w:pPr>
      <w:r w:rsidRPr="0086125C">
        <w:rPr>
          <w:rFonts w:ascii="Arial Narrow" w:eastAsia="Arial Narrow" w:hAnsi="Arial Narrow" w:cs="Arial Narrow"/>
          <w:sz w:val="16"/>
          <w:szCs w:val="16"/>
        </w:rPr>
        <w:t>Plašāka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informācija</w:t>
      </w:r>
      <w:r w:rsidRPr="0086125C">
        <w:rPr>
          <w:rFonts w:ascii="Arial Narrow" w:eastAsia="Arial Narrow" w:hAnsi="Arial Narrow" w:cs="Arial Narrow"/>
          <w:sz w:val="16"/>
          <w:szCs w:val="16"/>
        </w:rPr>
        <w:t xml:space="preserve"> par </w:t>
      </w:r>
      <w:r w:rsidRPr="0086125C">
        <w:rPr>
          <w:rFonts w:ascii="Arial Narrow" w:eastAsia="Arial Narrow" w:hAnsi="Arial Narrow" w:cs="Arial Narrow"/>
          <w:sz w:val="16"/>
          <w:szCs w:val="16"/>
        </w:rPr>
        <w:t>regulatīviem</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apstākļiem</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ir</w:t>
      </w:r>
      <w:r w:rsidRPr="0086125C">
        <w:rPr>
          <w:rFonts w:ascii="Arial Narrow" w:eastAsia="Arial Narrow" w:hAnsi="Arial Narrow" w:cs="Arial Narrow"/>
          <w:sz w:val="16"/>
          <w:szCs w:val="16"/>
        </w:rPr>
        <w:t xml:space="preserve"> </w:t>
      </w:r>
      <w:r w:rsidRPr="00A875A8">
        <w:rPr>
          <w:rFonts w:ascii="Arial Narrow" w:eastAsia="Arial Narrow" w:hAnsi="Arial Narrow" w:cs="Arial Narrow"/>
          <w:sz w:val="16"/>
          <w:szCs w:val="16"/>
        </w:rPr>
        <w:t>sniegta</w:t>
      </w:r>
      <w:r w:rsidRPr="00A875A8">
        <w:rPr>
          <w:rFonts w:ascii="Arial Narrow" w:eastAsia="Arial Narrow" w:hAnsi="Arial Narrow" w:cs="Arial Narrow"/>
          <w:sz w:val="16"/>
          <w:szCs w:val="16"/>
        </w:rPr>
        <w:t xml:space="preserve"> </w:t>
      </w:r>
      <w:r w:rsidRPr="00A875A8">
        <w:rPr>
          <w:rFonts w:ascii="Arial Narrow" w:eastAsia="Arial Narrow" w:hAnsi="Arial Narrow" w:cs="Arial Narrow"/>
          <w:sz w:val="16"/>
          <w:szCs w:val="16"/>
        </w:rPr>
        <w:t>38</w:t>
      </w:r>
      <w:r w:rsidRPr="00A875A8">
        <w:rPr>
          <w:rFonts w:ascii="Arial Narrow" w:eastAsia="Arial Narrow" w:hAnsi="Arial Narrow" w:cs="Arial Narrow"/>
          <w:sz w:val="16"/>
          <w:szCs w:val="16"/>
        </w:rPr>
        <w:t xml:space="preserve">. </w:t>
      </w:r>
      <w:r w:rsidRPr="00A875A8">
        <w:rPr>
          <w:rFonts w:ascii="Arial Narrow" w:eastAsia="Arial Narrow" w:hAnsi="Arial Narrow" w:cs="Arial Narrow"/>
          <w:sz w:val="16"/>
          <w:szCs w:val="16"/>
        </w:rPr>
        <w:t>piezīmē</w:t>
      </w:r>
      <w:r w:rsidRPr="0086125C">
        <w:rPr>
          <w:rFonts w:ascii="Arial Narrow" w:eastAsia="Arial Narrow" w:hAnsi="Arial Narrow" w:cs="Arial Narrow"/>
          <w:sz w:val="16"/>
          <w:szCs w:val="16"/>
        </w:rPr>
        <w:t>.</w:t>
      </w:r>
      <w:r w:rsidRPr="0086125C">
        <w:rPr>
          <w:rFonts w:ascii="Arial Narrow" w:eastAsia="Arial Narrow" w:hAnsi="Arial Narrow" w:cs="Arial Narrow"/>
          <w:sz w:val="16"/>
          <w:szCs w:val="16"/>
        </w:rPr>
        <w:tab/>
      </w:r>
    </w:p>
    <w:p w:rsidR="0086125C" w:rsidP="0086125C" w14:paraId="64C02A60" w14:textId="77777777">
      <w:pPr>
        <w:spacing w:after="0" w:line="360" w:lineRule="auto"/>
        <w:jc w:val="both"/>
        <w:rPr>
          <w:rFonts w:ascii="Arial Narrow" w:eastAsia="Arial Narrow" w:hAnsi="Arial Narrow" w:cs="Arial Narrow"/>
          <w:i/>
          <w:iCs/>
          <w:sz w:val="16"/>
          <w:szCs w:val="16"/>
        </w:rPr>
      </w:pPr>
    </w:p>
    <w:p w:rsidR="00DB36E3" w:rsidRPr="0086125C" w:rsidP="0086125C" w14:paraId="39BA37B1" w14:textId="52F038CE">
      <w:pPr>
        <w:spacing w:after="0" w:line="360" w:lineRule="auto"/>
        <w:jc w:val="both"/>
        <w:rPr>
          <w:rFonts w:ascii="Arial Narrow" w:eastAsia="Arial Narrow" w:hAnsi="Arial Narrow" w:cs="Arial Narrow"/>
          <w:i/>
          <w:iCs/>
          <w:sz w:val="16"/>
          <w:szCs w:val="16"/>
        </w:rPr>
      </w:pPr>
      <w:r w:rsidRPr="0086125C">
        <w:rPr>
          <w:rFonts w:ascii="Arial Narrow" w:eastAsia="Arial Narrow" w:hAnsi="Arial Narrow" w:cs="Arial Narrow"/>
          <w:i/>
          <w:iCs/>
          <w:sz w:val="16"/>
          <w:szCs w:val="16"/>
        </w:rPr>
        <w:t>Atbilstības</w:t>
      </w:r>
      <w:r w:rsidRPr="0086125C">
        <w:rPr>
          <w:rFonts w:ascii="Arial Narrow" w:eastAsia="Arial Narrow" w:hAnsi="Arial Narrow" w:cs="Arial Narrow"/>
          <w:i/>
          <w:iCs/>
          <w:sz w:val="16"/>
          <w:szCs w:val="16"/>
        </w:rPr>
        <w:t xml:space="preserve"> risks</w:t>
      </w:r>
    </w:p>
    <w:p w:rsidR="00DB36E3" w:rsidRPr="0086125C" w:rsidP="0086125C" w14:paraId="757F49B4" w14:textId="0C2A9784">
      <w:pPr>
        <w:spacing w:after="0" w:line="360" w:lineRule="auto"/>
        <w:ind w:firstLine="720"/>
        <w:jc w:val="both"/>
        <w:rPr>
          <w:rFonts w:ascii="Arial Narrow" w:eastAsia="Arial Narrow" w:hAnsi="Arial Narrow" w:cs="Arial Narrow"/>
          <w:sz w:val="16"/>
          <w:szCs w:val="16"/>
        </w:rPr>
      </w:pPr>
      <w:r w:rsidRPr="0086125C">
        <w:rPr>
          <w:rFonts w:ascii="Arial Narrow" w:eastAsia="Arial Narrow" w:hAnsi="Arial Narrow" w:cs="Arial Narrow"/>
          <w:sz w:val="16"/>
          <w:szCs w:val="16"/>
        </w:rPr>
        <w:t>Atbilstības</w:t>
      </w:r>
      <w:r w:rsidRPr="0086125C">
        <w:rPr>
          <w:rFonts w:ascii="Arial Narrow" w:eastAsia="Arial Narrow" w:hAnsi="Arial Narrow" w:cs="Arial Narrow"/>
          <w:sz w:val="16"/>
          <w:szCs w:val="16"/>
        </w:rPr>
        <w:t xml:space="preserve"> risks </w:t>
      </w:r>
      <w:r w:rsidRPr="0086125C">
        <w:rPr>
          <w:rFonts w:ascii="Arial Narrow" w:eastAsia="Arial Narrow" w:hAnsi="Arial Narrow" w:cs="Arial Narrow"/>
          <w:sz w:val="16"/>
          <w:szCs w:val="16"/>
        </w:rPr>
        <w:t>ir</w:t>
      </w:r>
      <w:r w:rsidRPr="0086125C">
        <w:rPr>
          <w:rFonts w:ascii="Arial Narrow" w:eastAsia="Arial Narrow" w:hAnsi="Arial Narrow" w:cs="Arial Narrow"/>
          <w:sz w:val="16"/>
          <w:szCs w:val="16"/>
        </w:rPr>
        <w:t xml:space="preserve"> risks, ka </w:t>
      </w:r>
      <w:r w:rsidRPr="0086125C">
        <w:rPr>
          <w:rFonts w:ascii="Arial Narrow" w:eastAsia="Arial Narrow" w:hAnsi="Arial Narrow" w:cs="Arial Narrow"/>
          <w:sz w:val="16"/>
          <w:szCs w:val="16"/>
        </w:rPr>
        <w:t>neatbilstošu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vai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nedarbojošos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iekšējo</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procesu</w:t>
      </w:r>
      <w:r w:rsidRPr="0086125C">
        <w:rPr>
          <w:rFonts w:ascii="Arial Narrow" w:eastAsia="Arial Narrow" w:hAnsi="Arial Narrow" w:cs="Arial Narrow"/>
          <w:sz w:val="16"/>
          <w:szCs w:val="16"/>
        </w:rPr>
        <w:t xml:space="preserve"> un </w:t>
      </w:r>
      <w:r w:rsidRPr="0086125C">
        <w:rPr>
          <w:rFonts w:ascii="Arial Narrow" w:eastAsia="Arial Narrow" w:hAnsi="Arial Narrow" w:cs="Arial Narrow"/>
          <w:sz w:val="16"/>
          <w:szCs w:val="16"/>
        </w:rPr>
        <w:t>sistēmu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dēļ</w:t>
      </w:r>
      <w:r w:rsidRPr="0086125C">
        <w:rPr>
          <w:rFonts w:ascii="Arial Narrow" w:eastAsia="Arial Narrow" w:hAnsi="Arial Narrow" w:cs="Arial Narrow"/>
          <w:sz w:val="16"/>
          <w:szCs w:val="16"/>
        </w:rPr>
        <w:t xml:space="preserve"> var </w:t>
      </w:r>
      <w:r w:rsidRPr="0086125C">
        <w:rPr>
          <w:rFonts w:ascii="Arial Narrow" w:eastAsia="Arial Narrow" w:hAnsi="Arial Narrow" w:cs="Arial Narrow"/>
          <w:sz w:val="16"/>
          <w:szCs w:val="16"/>
        </w:rPr>
        <w:t>rasties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zaudējumi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vai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komercdarbības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traucējumi</w:t>
      </w:r>
      <w:r w:rsidRPr="0086125C">
        <w:rPr>
          <w:rFonts w:ascii="Arial Narrow" w:eastAsia="Arial Narrow" w:hAnsi="Arial Narrow" w:cs="Arial Narrow"/>
          <w:sz w:val="16"/>
          <w:szCs w:val="16"/>
        </w:rPr>
        <w:t xml:space="preserve">, kuru </w:t>
      </w:r>
      <w:r w:rsidRPr="0086125C">
        <w:rPr>
          <w:rFonts w:ascii="Arial Narrow" w:eastAsia="Arial Narrow" w:hAnsi="Arial Narrow" w:cs="Arial Narrow"/>
          <w:sz w:val="16"/>
          <w:szCs w:val="16"/>
        </w:rPr>
        <w:t>rezultātā</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tiek</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pārkāptas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spēkā</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esošu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normatīvo</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aktu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vai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citu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piemērojamu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noteikumu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prasības</w:t>
      </w:r>
      <w:r w:rsidRPr="0086125C">
        <w:rPr>
          <w:rFonts w:ascii="Arial Narrow" w:eastAsia="Arial Narrow" w:hAnsi="Arial Narrow" w:cs="Arial Narrow"/>
          <w:sz w:val="16"/>
          <w:szCs w:val="16"/>
        </w:rPr>
        <w:t>.</w:t>
      </w:r>
    </w:p>
    <w:p w:rsidR="0086125C" w:rsidP="0086125C" w14:paraId="4F5C3E34" w14:textId="77777777">
      <w:pPr>
        <w:spacing w:after="0" w:line="360" w:lineRule="auto"/>
        <w:jc w:val="both"/>
        <w:rPr>
          <w:rFonts w:ascii="Arial Narrow" w:eastAsia="Arial Narrow" w:hAnsi="Arial Narrow" w:cs="Arial Narrow"/>
          <w:i/>
          <w:iCs/>
          <w:sz w:val="16"/>
          <w:szCs w:val="16"/>
        </w:rPr>
      </w:pPr>
    </w:p>
    <w:p w:rsidR="00DB36E3" w:rsidRPr="0086125C" w:rsidP="0086125C" w14:paraId="2F3B7E12" w14:textId="3B268229">
      <w:pPr>
        <w:spacing w:after="0" w:line="360" w:lineRule="auto"/>
        <w:jc w:val="both"/>
        <w:rPr>
          <w:rFonts w:ascii="Arial Narrow" w:eastAsia="Arial Narrow" w:hAnsi="Arial Narrow" w:cs="Arial Narrow"/>
          <w:i/>
          <w:iCs/>
          <w:sz w:val="16"/>
          <w:szCs w:val="16"/>
        </w:rPr>
      </w:pPr>
      <w:r w:rsidRPr="0086125C">
        <w:rPr>
          <w:rFonts w:ascii="Arial Narrow" w:eastAsia="Arial Narrow" w:hAnsi="Arial Narrow" w:cs="Arial Narrow"/>
          <w:i/>
          <w:iCs/>
          <w:sz w:val="16"/>
          <w:szCs w:val="16"/>
        </w:rPr>
        <w:t>Regulatīvie</w:t>
      </w:r>
      <w:r w:rsidRPr="0086125C">
        <w:rPr>
          <w:rFonts w:ascii="Arial Narrow" w:eastAsia="Arial Narrow" w:hAnsi="Arial Narrow" w:cs="Arial Narrow"/>
          <w:i/>
          <w:iCs/>
          <w:sz w:val="16"/>
          <w:szCs w:val="16"/>
        </w:rPr>
        <w:t xml:space="preserve"> </w:t>
      </w:r>
      <w:r w:rsidRPr="0086125C">
        <w:rPr>
          <w:rFonts w:ascii="Arial Narrow" w:eastAsia="Arial Narrow" w:hAnsi="Arial Narrow" w:cs="Arial Narrow"/>
          <w:i/>
          <w:iCs/>
          <w:sz w:val="16"/>
          <w:szCs w:val="16"/>
        </w:rPr>
        <w:t>riski</w:t>
      </w:r>
    </w:p>
    <w:p w:rsidR="00DB36E3" w:rsidRPr="0086125C" w:rsidP="0086125C" w14:paraId="1D6F4327" w14:textId="6E06A36D">
      <w:pPr>
        <w:spacing w:after="0" w:line="360" w:lineRule="auto"/>
        <w:ind w:firstLine="720"/>
        <w:jc w:val="both"/>
        <w:rPr>
          <w:rFonts w:ascii="Arial Narrow" w:eastAsia="Arial Narrow" w:hAnsi="Arial Narrow" w:cs="Arial Narrow"/>
          <w:sz w:val="16"/>
          <w:szCs w:val="16"/>
        </w:rPr>
      </w:pPr>
      <w:r w:rsidRPr="0086125C">
        <w:rPr>
          <w:rFonts w:ascii="Arial Narrow" w:eastAsia="Arial Narrow" w:hAnsi="Arial Narrow" w:cs="Arial Narrow"/>
          <w:sz w:val="16"/>
          <w:szCs w:val="16"/>
        </w:rPr>
        <w:t>Koncerna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komercdarbību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regulē</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dažādas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patērētāju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aizsardzības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finanšu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iestāžu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kon</w:t>
      </w:r>
      <w:r w:rsidRPr="0086125C">
        <w:rPr>
          <w:rFonts w:ascii="Arial Narrow" w:eastAsia="Arial Narrow" w:hAnsi="Arial Narrow" w:cs="Arial Narrow"/>
          <w:sz w:val="16"/>
          <w:szCs w:val="16"/>
        </w:rPr>
        <w:t>troles</w:t>
      </w:r>
      <w:r w:rsidRPr="0086125C">
        <w:rPr>
          <w:rFonts w:ascii="Arial Narrow" w:eastAsia="Arial Narrow" w:hAnsi="Arial Narrow" w:cs="Arial Narrow"/>
          <w:sz w:val="16"/>
          <w:szCs w:val="16"/>
        </w:rPr>
        <w:t xml:space="preserve"> un </w:t>
      </w:r>
      <w:r w:rsidRPr="0086125C">
        <w:rPr>
          <w:rFonts w:ascii="Arial Narrow" w:eastAsia="Arial Narrow" w:hAnsi="Arial Narrow" w:cs="Arial Narrow"/>
          <w:sz w:val="16"/>
          <w:szCs w:val="16"/>
        </w:rPr>
        <w:t>citas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valsts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iestādes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dažādās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jurisdikcijās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ieskaitot</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citu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starpā</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normatīvos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aktus</w:t>
      </w:r>
      <w:r w:rsidRPr="0086125C">
        <w:rPr>
          <w:rFonts w:ascii="Arial Narrow" w:eastAsia="Arial Narrow" w:hAnsi="Arial Narrow" w:cs="Arial Narrow"/>
          <w:sz w:val="16"/>
          <w:szCs w:val="16"/>
        </w:rPr>
        <w:t xml:space="preserve">, kas </w:t>
      </w:r>
      <w:r w:rsidRPr="0086125C">
        <w:rPr>
          <w:rFonts w:ascii="Arial Narrow" w:eastAsia="Arial Narrow" w:hAnsi="Arial Narrow" w:cs="Arial Narrow"/>
          <w:sz w:val="16"/>
          <w:szCs w:val="16"/>
        </w:rPr>
        <w:t>attiecas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uz</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patēriņa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kredītiem</w:t>
      </w:r>
      <w:r w:rsidRPr="0086125C">
        <w:rPr>
          <w:rFonts w:ascii="Arial Narrow" w:eastAsia="Arial Narrow" w:hAnsi="Arial Narrow" w:cs="Arial Narrow"/>
          <w:sz w:val="16"/>
          <w:szCs w:val="16"/>
        </w:rPr>
        <w:t xml:space="preserve"> un </w:t>
      </w:r>
      <w:r w:rsidRPr="0086125C">
        <w:rPr>
          <w:rFonts w:ascii="Arial Narrow" w:eastAsia="Arial Narrow" w:hAnsi="Arial Narrow" w:cs="Arial Narrow"/>
          <w:sz w:val="16"/>
          <w:szCs w:val="16"/>
        </w:rPr>
        <w:t>patērētāju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tiesību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aizsardzību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parādu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piedziņu</w:t>
      </w:r>
      <w:r w:rsidRPr="0086125C">
        <w:rPr>
          <w:rFonts w:ascii="Arial Narrow" w:eastAsia="Arial Narrow" w:hAnsi="Arial Narrow" w:cs="Arial Narrow"/>
          <w:sz w:val="16"/>
          <w:szCs w:val="16"/>
        </w:rPr>
        <w:t xml:space="preserve"> un personas </w:t>
      </w:r>
      <w:r w:rsidRPr="0086125C">
        <w:rPr>
          <w:rFonts w:ascii="Arial Narrow" w:eastAsia="Arial Narrow" w:hAnsi="Arial Narrow" w:cs="Arial Narrow"/>
          <w:sz w:val="16"/>
          <w:szCs w:val="16"/>
        </w:rPr>
        <w:t>datu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apstrādi</w:t>
      </w:r>
      <w:r w:rsidRPr="0086125C">
        <w:rPr>
          <w:rFonts w:ascii="Arial Narrow" w:eastAsia="Arial Narrow" w:hAnsi="Arial Narrow" w:cs="Arial Narrow"/>
          <w:sz w:val="16"/>
          <w:szCs w:val="16"/>
        </w:rPr>
        <w:t xml:space="preserve">.  </w:t>
      </w:r>
    </w:p>
    <w:p w:rsidR="0086125C" w:rsidP="0086125C" w14:paraId="2D781681" w14:textId="77777777">
      <w:pPr>
        <w:spacing w:after="0" w:line="360" w:lineRule="auto"/>
        <w:jc w:val="both"/>
        <w:rPr>
          <w:rFonts w:ascii="Arial Narrow" w:eastAsia="Arial Narrow" w:hAnsi="Arial Narrow" w:cs="Arial Narrow"/>
          <w:i/>
          <w:iCs/>
          <w:sz w:val="16"/>
          <w:szCs w:val="16"/>
        </w:rPr>
      </w:pPr>
    </w:p>
    <w:p w:rsidR="00DB36E3" w:rsidRPr="0086125C" w:rsidP="0086125C" w14:paraId="506FED35" w14:textId="20CB2C88">
      <w:pPr>
        <w:spacing w:after="0" w:line="360" w:lineRule="auto"/>
        <w:jc w:val="both"/>
        <w:rPr>
          <w:rFonts w:ascii="Arial Narrow" w:eastAsia="Arial Narrow" w:hAnsi="Arial Narrow" w:cs="Arial Narrow"/>
          <w:i/>
          <w:iCs/>
          <w:sz w:val="16"/>
          <w:szCs w:val="16"/>
        </w:rPr>
      </w:pPr>
      <w:r w:rsidRPr="0086125C">
        <w:rPr>
          <w:rFonts w:ascii="Arial Narrow" w:eastAsia="Arial Narrow" w:hAnsi="Arial Narrow" w:cs="Arial Narrow"/>
          <w:i/>
          <w:iCs/>
          <w:sz w:val="16"/>
          <w:szCs w:val="16"/>
        </w:rPr>
        <w:t>Atbilstības</w:t>
      </w:r>
      <w:r w:rsidRPr="0086125C">
        <w:rPr>
          <w:rFonts w:ascii="Arial Narrow" w:eastAsia="Arial Narrow" w:hAnsi="Arial Narrow" w:cs="Arial Narrow"/>
          <w:i/>
          <w:iCs/>
          <w:sz w:val="16"/>
          <w:szCs w:val="16"/>
        </w:rPr>
        <w:t xml:space="preserve"> risks </w:t>
      </w:r>
      <w:r w:rsidRPr="0086125C">
        <w:rPr>
          <w:rFonts w:ascii="Arial Narrow" w:eastAsia="Arial Narrow" w:hAnsi="Arial Narrow" w:cs="Arial Narrow"/>
          <w:i/>
          <w:iCs/>
          <w:sz w:val="16"/>
          <w:szCs w:val="16"/>
        </w:rPr>
        <w:t>saistībā</w:t>
      </w:r>
      <w:r w:rsidRPr="0086125C">
        <w:rPr>
          <w:rFonts w:ascii="Arial Narrow" w:eastAsia="Arial Narrow" w:hAnsi="Arial Narrow" w:cs="Arial Narrow"/>
          <w:i/>
          <w:iCs/>
          <w:sz w:val="16"/>
          <w:szCs w:val="16"/>
        </w:rPr>
        <w:t xml:space="preserve"> </w:t>
      </w:r>
      <w:r w:rsidRPr="0086125C">
        <w:rPr>
          <w:rFonts w:ascii="Arial Narrow" w:eastAsia="Arial Narrow" w:hAnsi="Arial Narrow" w:cs="Arial Narrow"/>
          <w:i/>
          <w:iCs/>
          <w:sz w:val="16"/>
          <w:szCs w:val="16"/>
        </w:rPr>
        <w:t>ar</w:t>
      </w:r>
      <w:r w:rsidRPr="0086125C">
        <w:rPr>
          <w:rFonts w:ascii="Arial Narrow" w:eastAsia="Arial Narrow" w:hAnsi="Arial Narrow" w:cs="Arial Narrow"/>
          <w:i/>
          <w:iCs/>
          <w:sz w:val="16"/>
          <w:szCs w:val="16"/>
        </w:rPr>
        <w:t xml:space="preserve"> </w:t>
      </w:r>
      <w:r w:rsidRPr="0086125C">
        <w:rPr>
          <w:rFonts w:ascii="Arial Narrow" w:eastAsia="Arial Narrow" w:hAnsi="Arial Narrow" w:cs="Arial Narrow"/>
          <w:i/>
          <w:iCs/>
          <w:sz w:val="16"/>
          <w:szCs w:val="16"/>
        </w:rPr>
        <w:t>normatīvajiem</w:t>
      </w:r>
      <w:r w:rsidRPr="0086125C">
        <w:rPr>
          <w:rFonts w:ascii="Arial Narrow" w:eastAsia="Arial Narrow" w:hAnsi="Arial Narrow" w:cs="Arial Narrow"/>
          <w:i/>
          <w:iCs/>
          <w:sz w:val="16"/>
          <w:szCs w:val="16"/>
        </w:rPr>
        <w:t xml:space="preserve"> </w:t>
      </w:r>
      <w:r w:rsidRPr="0086125C">
        <w:rPr>
          <w:rFonts w:ascii="Arial Narrow" w:eastAsia="Arial Narrow" w:hAnsi="Arial Narrow" w:cs="Arial Narrow"/>
          <w:i/>
          <w:iCs/>
          <w:sz w:val="16"/>
          <w:szCs w:val="16"/>
        </w:rPr>
        <w:t>aktīviem</w:t>
      </w:r>
      <w:r w:rsidRPr="0086125C">
        <w:rPr>
          <w:rFonts w:ascii="Arial Narrow" w:eastAsia="Arial Narrow" w:hAnsi="Arial Narrow" w:cs="Arial Narrow"/>
          <w:i/>
          <w:iCs/>
          <w:sz w:val="16"/>
          <w:szCs w:val="16"/>
        </w:rPr>
        <w:t xml:space="preserve"> </w:t>
      </w:r>
      <w:r w:rsidRPr="0086125C">
        <w:rPr>
          <w:rFonts w:ascii="Arial Narrow" w:eastAsia="Arial Narrow" w:hAnsi="Arial Narrow" w:cs="Arial Narrow"/>
          <w:i/>
          <w:iCs/>
          <w:sz w:val="16"/>
          <w:szCs w:val="16"/>
        </w:rPr>
        <w:t>noziedzīgi</w:t>
      </w:r>
      <w:r w:rsidRPr="0086125C">
        <w:rPr>
          <w:rFonts w:ascii="Arial Narrow" w:eastAsia="Arial Narrow" w:hAnsi="Arial Narrow" w:cs="Arial Narrow"/>
          <w:i/>
          <w:iCs/>
          <w:sz w:val="16"/>
          <w:szCs w:val="16"/>
        </w:rPr>
        <w:t xml:space="preserve"> </w:t>
      </w:r>
      <w:r w:rsidRPr="0086125C">
        <w:rPr>
          <w:rFonts w:ascii="Arial Narrow" w:eastAsia="Arial Narrow" w:hAnsi="Arial Narrow" w:cs="Arial Narrow"/>
          <w:i/>
          <w:iCs/>
          <w:sz w:val="16"/>
          <w:szCs w:val="16"/>
        </w:rPr>
        <w:t>iegūtu</w:t>
      </w:r>
      <w:r w:rsidRPr="0086125C">
        <w:rPr>
          <w:rFonts w:ascii="Arial Narrow" w:eastAsia="Arial Narrow" w:hAnsi="Arial Narrow" w:cs="Arial Narrow"/>
          <w:i/>
          <w:iCs/>
          <w:sz w:val="16"/>
          <w:szCs w:val="16"/>
        </w:rPr>
        <w:t xml:space="preserve"> </w:t>
      </w:r>
      <w:r w:rsidRPr="0086125C">
        <w:rPr>
          <w:rFonts w:ascii="Arial Narrow" w:eastAsia="Arial Narrow" w:hAnsi="Arial Narrow" w:cs="Arial Narrow"/>
          <w:i/>
          <w:iCs/>
          <w:sz w:val="16"/>
          <w:szCs w:val="16"/>
        </w:rPr>
        <w:t>līdzekļu</w:t>
      </w:r>
      <w:r w:rsidRPr="0086125C">
        <w:rPr>
          <w:rFonts w:ascii="Arial Narrow" w:eastAsia="Arial Narrow" w:hAnsi="Arial Narrow" w:cs="Arial Narrow"/>
          <w:i/>
          <w:iCs/>
          <w:sz w:val="16"/>
          <w:szCs w:val="16"/>
        </w:rPr>
        <w:t xml:space="preserve"> </w:t>
      </w:r>
      <w:r w:rsidRPr="0086125C">
        <w:rPr>
          <w:rFonts w:ascii="Arial Narrow" w:eastAsia="Arial Narrow" w:hAnsi="Arial Narrow" w:cs="Arial Narrow"/>
          <w:i/>
          <w:iCs/>
          <w:sz w:val="16"/>
          <w:szCs w:val="16"/>
        </w:rPr>
        <w:t>legalizācijas</w:t>
      </w:r>
      <w:r w:rsidRPr="0086125C">
        <w:rPr>
          <w:rFonts w:ascii="Arial Narrow" w:eastAsia="Arial Narrow" w:hAnsi="Arial Narrow" w:cs="Arial Narrow"/>
          <w:i/>
          <w:iCs/>
          <w:sz w:val="16"/>
          <w:szCs w:val="16"/>
        </w:rPr>
        <w:t xml:space="preserve"> </w:t>
      </w:r>
      <w:r w:rsidRPr="0086125C">
        <w:rPr>
          <w:rFonts w:ascii="Arial Narrow" w:eastAsia="Arial Narrow" w:hAnsi="Arial Narrow" w:cs="Arial Narrow"/>
          <w:i/>
          <w:iCs/>
          <w:sz w:val="16"/>
          <w:szCs w:val="16"/>
        </w:rPr>
        <w:t>novēršanas</w:t>
      </w:r>
      <w:r w:rsidRPr="0086125C">
        <w:rPr>
          <w:rFonts w:ascii="Arial Narrow" w:eastAsia="Arial Narrow" w:hAnsi="Arial Narrow" w:cs="Arial Narrow"/>
          <w:i/>
          <w:iCs/>
          <w:sz w:val="16"/>
          <w:szCs w:val="16"/>
        </w:rPr>
        <w:t xml:space="preserve"> un </w:t>
      </w:r>
      <w:r w:rsidRPr="0086125C">
        <w:rPr>
          <w:rFonts w:ascii="Arial Narrow" w:eastAsia="Arial Narrow" w:hAnsi="Arial Narrow" w:cs="Arial Narrow"/>
          <w:i/>
          <w:iCs/>
          <w:sz w:val="16"/>
          <w:szCs w:val="16"/>
        </w:rPr>
        <w:t>pazīsti</w:t>
      </w:r>
      <w:r w:rsidRPr="0086125C">
        <w:rPr>
          <w:rFonts w:ascii="Arial Narrow" w:eastAsia="Arial Narrow" w:hAnsi="Arial Narrow" w:cs="Arial Narrow"/>
          <w:i/>
          <w:iCs/>
          <w:sz w:val="16"/>
          <w:szCs w:val="16"/>
        </w:rPr>
        <w:t xml:space="preserve"> </w:t>
      </w:r>
      <w:r w:rsidRPr="0086125C">
        <w:rPr>
          <w:rFonts w:ascii="Arial Narrow" w:eastAsia="Arial Narrow" w:hAnsi="Arial Narrow" w:cs="Arial Narrow"/>
          <w:i/>
          <w:iCs/>
          <w:sz w:val="16"/>
          <w:szCs w:val="16"/>
        </w:rPr>
        <w:t>savu</w:t>
      </w:r>
      <w:r w:rsidRPr="0086125C">
        <w:rPr>
          <w:rFonts w:ascii="Arial Narrow" w:eastAsia="Arial Narrow" w:hAnsi="Arial Narrow" w:cs="Arial Narrow"/>
          <w:i/>
          <w:iCs/>
          <w:sz w:val="16"/>
          <w:szCs w:val="16"/>
        </w:rPr>
        <w:t xml:space="preserve"> </w:t>
      </w:r>
      <w:r w:rsidRPr="0086125C">
        <w:rPr>
          <w:rFonts w:ascii="Arial Narrow" w:eastAsia="Arial Narrow" w:hAnsi="Arial Narrow" w:cs="Arial Narrow"/>
          <w:i/>
          <w:iCs/>
          <w:sz w:val="16"/>
          <w:szCs w:val="16"/>
        </w:rPr>
        <w:t>klientu</w:t>
      </w:r>
      <w:r w:rsidRPr="0086125C">
        <w:rPr>
          <w:rFonts w:ascii="Arial Narrow" w:eastAsia="Arial Narrow" w:hAnsi="Arial Narrow" w:cs="Arial Narrow"/>
          <w:i/>
          <w:iCs/>
          <w:sz w:val="16"/>
          <w:szCs w:val="16"/>
        </w:rPr>
        <w:t xml:space="preserve"> </w:t>
      </w:r>
      <w:r w:rsidRPr="0086125C">
        <w:rPr>
          <w:rFonts w:ascii="Arial Narrow" w:eastAsia="Arial Narrow" w:hAnsi="Arial Narrow" w:cs="Arial Narrow"/>
          <w:i/>
          <w:iCs/>
          <w:sz w:val="16"/>
          <w:szCs w:val="16"/>
        </w:rPr>
        <w:t>jomā</w:t>
      </w:r>
    </w:p>
    <w:p w:rsidR="00DB36E3" w:rsidRPr="0086125C" w:rsidP="0086125C" w14:paraId="26E4A403" w14:textId="34943684">
      <w:pPr>
        <w:spacing w:after="0" w:line="360" w:lineRule="auto"/>
        <w:ind w:firstLine="720"/>
        <w:jc w:val="both"/>
        <w:rPr>
          <w:rFonts w:ascii="Arial Narrow" w:eastAsia="Arial Narrow" w:hAnsi="Arial Narrow" w:cs="Arial Narrow"/>
          <w:sz w:val="16"/>
          <w:szCs w:val="16"/>
        </w:rPr>
      </w:pPr>
      <w:r w:rsidRPr="0086125C">
        <w:rPr>
          <w:rFonts w:ascii="Arial Narrow" w:eastAsia="Arial Narrow" w:hAnsi="Arial Narrow" w:cs="Arial Narrow"/>
          <w:sz w:val="16"/>
          <w:szCs w:val="16"/>
        </w:rPr>
        <w:t>Koncernam</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ir</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pienākums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ievērot</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noziedzīgi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iegūtu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līdzekļu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legalizācijas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novēršanas</w:t>
      </w:r>
      <w:r w:rsidRPr="0086125C">
        <w:rPr>
          <w:rFonts w:ascii="Arial Narrow" w:eastAsia="Arial Narrow" w:hAnsi="Arial Narrow" w:cs="Arial Narrow"/>
          <w:sz w:val="16"/>
          <w:szCs w:val="16"/>
        </w:rPr>
        <w:t xml:space="preserve"> un </w:t>
      </w:r>
      <w:r w:rsidRPr="0086125C">
        <w:rPr>
          <w:rFonts w:ascii="Arial Narrow" w:eastAsia="Arial Narrow" w:hAnsi="Arial Narrow" w:cs="Arial Narrow"/>
          <w:sz w:val="16"/>
          <w:szCs w:val="16"/>
        </w:rPr>
        <w:t>saistīto</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normatīvo</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aktu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prasības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Koncernā</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ir</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ieviesta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noziedzīgi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iegūtu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līdzekļ</w:t>
      </w:r>
      <w:r w:rsidRPr="0086125C">
        <w:rPr>
          <w:rFonts w:ascii="Arial Narrow" w:eastAsia="Arial Narrow" w:hAnsi="Arial Narrow" w:cs="Arial Narrow"/>
          <w:sz w:val="16"/>
          <w:szCs w:val="16"/>
        </w:rPr>
        <w:t>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legalizācijas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novēršanas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politika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Kā</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finanšu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iestādei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Koncernam</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ir</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jāizpilda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noziedzīgi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iegūtu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līdzekļu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legalizācijas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novēršanas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noteikumi</w:t>
      </w:r>
      <w:r w:rsidRPr="0086125C">
        <w:rPr>
          <w:rFonts w:ascii="Arial Narrow" w:eastAsia="Arial Narrow" w:hAnsi="Arial Narrow" w:cs="Arial Narrow"/>
          <w:sz w:val="16"/>
          <w:szCs w:val="16"/>
        </w:rPr>
        <w:t xml:space="preserve">, kuru </w:t>
      </w:r>
      <w:r w:rsidRPr="0086125C">
        <w:rPr>
          <w:rFonts w:ascii="Arial Narrow" w:eastAsia="Arial Narrow" w:hAnsi="Arial Narrow" w:cs="Arial Narrow"/>
          <w:sz w:val="16"/>
          <w:szCs w:val="16"/>
        </w:rPr>
        <w:t>prasības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ir</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mazāk</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ierobežojošas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nekā</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bankām</w:t>
      </w:r>
      <w:r w:rsidRPr="0086125C">
        <w:rPr>
          <w:rFonts w:ascii="Arial Narrow" w:eastAsia="Arial Narrow" w:hAnsi="Arial Narrow" w:cs="Arial Narrow"/>
          <w:sz w:val="16"/>
          <w:szCs w:val="16"/>
        </w:rPr>
        <w:t>.</w:t>
      </w:r>
    </w:p>
    <w:p w:rsidR="00DB36E3" w:rsidRPr="0086125C" w:rsidP="0086125C" w14:paraId="1E729CD7" w14:textId="4A7613F2">
      <w:pPr>
        <w:spacing w:after="0" w:line="360" w:lineRule="auto"/>
        <w:ind w:firstLine="720"/>
        <w:jc w:val="both"/>
        <w:rPr>
          <w:rFonts w:ascii="Arial Narrow" w:eastAsia="Arial Narrow" w:hAnsi="Arial Narrow" w:cs="Arial Narrow"/>
          <w:sz w:val="16"/>
          <w:szCs w:val="16"/>
        </w:rPr>
      </w:pPr>
      <w:r w:rsidRPr="0086125C">
        <w:rPr>
          <w:rFonts w:ascii="Arial Narrow" w:eastAsia="Arial Narrow" w:hAnsi="Arial Narrow" w:cs="Arial Narrow"/>
          <w:sz w:val="16"/>
          <w:szCs w:val="16"/>
        </w:rPr>
        <w:t>Tāpēc</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daudzās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situācijās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Koncerns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paļaujas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uz</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tām</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noziedzīgi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w:t>
      </w:r>
      <w:r w:rsidRPr="0086125C">
        <w:rPr>
          <w:rFonts w:ascii="Arial Narrow" w:eastAsia="Arial Narrow" w:hAnsi="Arial Narrow" w:cs="Arial Narrow"/>
          <w:sz w:val="16"/>
          <w:szCs w:val="16"/>
        </w:rPr>
        <w:t>gūtu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līdzekļu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legalizācijas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novēršanas</w:t>
      </w:r>
      <w:r w:rsidRPr="0086125C">
        <w:rPr>
          <w:rFonts w:ascii="Arial Narrow" w:eastAsia="Arial Narrow" w:hAnsi="Arial Narrow" w:cs="Arial Narrow"/>
          <w:sz w:val="16"/>
          <w:szCs w:val="16"/>
        </w:rPr>
        <w:t xml:space="preserve"> un “</w:t>
      </w:r>
      <w:r w:rsidRPr="0086125C">
        <w:rPr>
          <w:rFonts w:ascii="Arial Narrow" w:eastAsia="Arial Narrow" w:hAnsi="Arial Narrow" w:cs="Arial Narrow"/>
          <w:sz w:val="16"/>
          <w:szCs w:val="16"/>
        </w:rPr>
        <w:t>pazīsti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savu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klientu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procedūrām</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kuras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ir</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veikušas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klientu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bankas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brīdī</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kad</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klients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ir</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atvēris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jaunu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kontu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Tomēr</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Koncernā</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ir</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ieviestas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arī</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papildu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iekšējas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procedūras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šo</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risku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ierobežošanai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Koncernā</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ir</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ieviest</w:t>
      </w:r>
      <w:r w:rsidRPr="0086125C">
        <w:rPr>
          <w:rFonts w:ascii="Arial Narrow" w:eastAsia="Arial Narrow" w:hAnsi="Arial Narrow" w:cs="Arial Narrow"/>
          <w:sz w:val="16"/>
          <w:szCs w:val="16"/>
        </w:rPr>
        <w:t>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iekšējās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kontroles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struktūra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kuras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uzdevums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ir</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identificēt</w:t>
      </w:r>
      <w:r w:rsidRPr="0086125C">
        <w:rPr>
          <w:rFonts w:ascii="Arial Narrow" w:eastAsia="Arial Narrow" w:hAnsi="Arial Narrow" w:cs="Arial Narrow"/>
          <w:sz w:val="16"/>
          <w:szCs w:val="16"/>
        </w:rPr>
        <w:t xml:space="preserve"> un </w:t>
      </w:r>
      <w:r w:rsidRPr="0086125C">
        <w:rPr>
          <w:rFonts w:ascii="Arial Narrow" w:eastAsia="Arial Narrow" w:hAnsi="Arial Narrow" w:cs="Arial Narrow"/>
          <w:sz w:val="16"/>
          <w:szCs w:val="16"/>
        </w:rPr>
        <w:t>ziņot</w:t>
      </w:r>
      <w:r w:rsidRPr="0086125C">
        <w:rPr>
          <w:rFonts w:ascii="Arial Narrow" w:eastAsia="Arial Narrow" w:hAnsi="Arial Narrow" w:cs="Arial Narrow"/>
          <w:sz w:val="16"/>
          <w:szCs w:val="16"/>
        </w:rPr>
        <w:t xml:space="preserve"> par </w:t>
      </w:r>
      <w:r w:rsidRPr="0086125C">
        <w:rPr>
          <w:rFonts w:ascii="Arial Narrow" w:eastAsia="Arial Narrow" w:hAnsi="Arial Narrow" w:cs="Arial Narrow"/>
          <w:sz w:val="16"/>
          <w:szCs w:val="16"/>
        </w:rPr>
        <w:t>visiem</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aizdomīgiem</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darījumiem</w:t>
      </w:r>
      <w:r w:rsidRPr="0086125C">
        <w:rPr>
          <w:rFonts w:ascii="Arial Narrow" w:eastAsia="Arial Narrow" w:hAnsi="Arial Narrow" w:cs="Arial Narrow"/>
          <w:sz w:val="16"/>
          <w:szCs w:val="16"/>
        </w:rPr>
        <w:t xml:space="preserve"> un </w:t>
      </w:r>
      <w:r w:rsidRPr="0086125C">
        <w:rPr>
          <w:rFonts w:ascii="Arial Narrow" w:eastAsia="Arial Narrow" w:hAnsi="Arial Narrow" w:cs="Arial Narrow"/>
          <w:sz w:val="16"/>
          <w:szCs w:val="16"/>
        </w:rPr>
        <w:t>kura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sastāv</w:t>
      </w:r>
      <w:r w:rsidRPr="0086125C">
        <w:rPr>
          <w:rFonts w:ascii="Arial Narrow" w:eastAsia="Arial Narrow" w:hAnsi="Arial Narrow" w:cs="Arial Narrow"/>
          <w:sz w:val="16"/>
          <w:szCs w:val="16"/>
        </w:rPr>
        <w:t xml:space="preserve"> no IT </w:t>
      </w:r>
      <w:r w:rsidRPr="0086125C">
        <w:rPr>
          <w:rFonts w:ascii="Arial Narrow" w:eastAsia="Arial Narrow" w:hAnsi="Arial Narrow" w:cs="Arial Narrow"/>
          <w:sz w:val="16"/>
          <w:szCs w:val="16"/>
        </w:rPr>
        <w:t>risinājumiem</w:t>
      </w:r>
      <w:r w:rsidRPr="0086125C">
        <w:rPr>
          <w:rFonts w:ascii="Arial Narrow" w:eastAsia="Arial Narrow" w:hAnsi="Arial Narrow" w:cs="Arial Narrow"/>
          <w:sz w:val="16"/>
          <w:szCs w:val="16"/>
        </w:rPr>
        <w:t xml:space="preserve"> un </w:t>
      </w:r>
      <w:r w:rsidRPr="0086125C">
        <w:rPr>
          <w:rFonts w:ascii="Arial Narrow" w:eastAsia="Arial Narrow" w:hAnsi="Arial Narrow" w:cs="Arial Narrow"/>
          <w:sz w:val="16"/>
          <w:szCs w:val="16"/>
        </w:rPr>
        <w:t>darbiniekiem</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Koncerna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iekšējās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politikas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ietver</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klientu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pārbaudes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sankciju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sarakstos</w:t>
      </w:r>
      <w:r w:rsidRPr="0086125C">
        <w:rPr>
          <w:rFonts w:ascii="Arial Narrow" w:eastAsia="Arial Narrow" w:hAnsi="Arial Narrow" w:cs="Arial Narrow"/>
          <w:sz w:val="16"/>
          <w:szCs w:val="16"/>
        </w:rPr>
        <w:t xml:space="preserve"> un </w:t>
      </w:r>
      <w:r w:rsidRPr="0086125C">
        <w:rPr>
          <w:rFonts w:ascii="Arial Narrow" w:eastAsia="Arial Narrow" w:hAnsi="Arial Narrow" w:cs="Arial Narrow"/>
          <w:sz w:val="16"/>
          <w:szCs w:val="16"/>
        </w:rPr>
        <w:t>citos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publiski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pieejamos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avotos</w:t>
      </w:r>
      <w:r w:rsidRPr="0086125C">
        <w:rPr>
          <w:rFonts w:ascii="Arial Narrow" w:eastAsia="Arial Narrow" w:hAnsi="Arial Narrow" w:cs="Arial Narrow"/>
          <w:sz w:val="16"/>
          <w:szCs w:val="16"/>
        </w:rPr>
        <w:t xml:space="preserve">, kas </w:t>
      </w:r>
      <w:r w:rsidRPr="0086125C">
        <w:rPr>
          <w:rFonts w:ascii="Arial Narrow" w:eastAsia="Arial Narrow" w:hAnsi="Arial Narrow" w:cs="Arial Narrow"/>
          <w:sz w:val="16"/>
          <w:szCs w:val="16"/>
        </w:rPr>
        <w:t>noteikti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vietējos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normatīvajos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aktos</w:t>
      </w:r>
      <w:r w:rsidRPr="0086125C">
        <w:rPr>
          <w:rFonts w:ascii="Arial Narrow" w:eastAsia="Arial Narrow" w:hAnsi="Arial Narrow" w:cs="Arial Narrow"/>
          <w:sz w:val="16"/>
          <w:szCs w:val="16"/>
        </w:rPr>
        <w:t xml:space="preserve"> un </w:t>
      </w:r>
      <w:r w:rsidRPr="0086125C">
        <w:rPr>
          <w:rFonts w:ascii="Arial Narrow" w:eastAsia="Arial Narrow" w:hAnsi="Arial Narrow" w:cs="Arial Narrow"/>
          <w:sz w:val="16"/>
          <w:szCs w:val="16"/>
        </w:rPr>
        <w:t>Patērētāju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tiesību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aizsardzības</w:t>
      </w:r>
      <w:r w:rsidRPr="0086125C">
        <w:rPr>
          <w:rFonts w:ascii="Arial Narrow" w:eastAsia="Arial Narrow" w:hAnsi="Arial Narrow" w:cs="Arial Narrow"/>
          <w:sz w:val="16"/>
          <w:szCs w:val="16"/>
        </w:rPr>
        <w:t xml:space="preserve"> centra </w:t>
      </w:r>
      <w:r w:rsidRPr="0086125C">
        <w:rPr>
          <w:rFonts w:ascii="Arial Narrow" w:eastAsia="Arial Narrow" w:hAnsi="Arial Narrow" w:cs="Arial Narrow"/>
          <w:sz w:val="16"/>
          <w:szCs w:val="16"/>
        </w:rPr>
        <w:t>noteikumos</w:t>
      </w:r>
      <w:r w:rsidRPr="0086125C">
        <w:rPr>
          <w:rFonts w:ascii="Arial Narrow" w:eastAsia="Arial Narrow" w:hAnsi="Arial Narrow" w:cs="Arial Narrow"/>
          <w:sz w:val="16"/>
          <w:szCs w:val="16"/>
        </w:rPr>
        <w:t>.</w:t>
      </w:r>
    </w:p>
    <w:p w:rsidR="0086125C" w:rsidP="0086125C" w14:paraId="7ECFAE1E" w14:textId="77777777">
      <w:pPr>
        <w:spacing w:after="0" w:line="360" w:lineRule="auto"/>
        <w:jc w:val="both"/>
        <w:rPr>
          <w:rFonts w:ascii="Arial Narrow" w:eastAsia="Arial Narrow" w:hAnsi="Arial Narrow" w:cs="Arial Narrow"/>
          <w:i/>
          <w:iCs/>
          <w:sz w:val="16"/>
          <w:szCs w:val="16"/>
        </w:rPr>
      </w:pPr>
    </w:p>
    <w:p w:rsidR="00DB36E3" w:rsidRPr="0086125C" w:rsidP="0086125C" w14:paraId="2DF79D94" w14:textId="73041612">
      <w:pPr>
        <w:spacing w:after="0" w:line="360" w:lineRule="auto"/>
        <w:jc w:val="both"/>
        <w:rPr>
          <w:rFonts w:ascii="Arial Narrow" w:eastAsia="Arial Narrow" w:hAnsi="Arial Narrow" w:cs="Arial Narrow"/>
          <w:i/>
          <w:iCs/>
          <w:sz w:val="16"/>
          <w:szCs w:val="16"/>
        </w:rPr>
      </w:pPr>
      <w:r w:rsidRPr="0086125C">
        <w:rPr>
          <w:rFonts w:ascii="Arial Narrow" w:eastAsia="Arial Narrow" w:hAnsi="Arial Narrow" w:cs="Arial Narrow"/>
          <w:i/>
          <w:iCs/>
          <w:sz w:val="16"/>
          <w:szCs w:val="16"/>
        </w:rPr>
        <w:t>Privātuma</w:t>
      </w:r>
      <w:r w:rsidRPr="0086125C">
        <w:rPr>
          <w:rFonts w:ascii="Arial Narrow" w:eastAsia="Arial Narrow" w:hAnsi="Arial Narrow" w:cs="Arial Narrow"/>
          <w:i/>
          <w:iCs/>
          <w:sz w:val="16"/>
          <w:szCs w:val="16"/>
        </w:rPr>
        <w:t xml:space="preserve"> un </w:t>
      </w:r>
      <w:r w:rsidRPr="0086125C">
        <w:rPr>
          <w:rFonts w:ascii="Arial Narrow" w:eastAsia="Arial Narrow" w:hAnsi="Arial Narrow" w:cs="Arial Narrow"/>
          <w:i/>
          <w:iCs/>
          <w:sz w:val="16"/>
          <w:szCs w:val="16"/>
        </w:rPr>
        <w:t>datu</w:t>
      </w:r>
      <w:r w:rsidRPr="0086125C">
        <w:rPr>
          <w:rFonts w:ascii="Arial Narrow" w:eastAsia="Arial Narrow" w:hAnsi="Arial Narrow" w:cs="Arial Narrow"/>
          <w:i/>
          <w:iCs/>
          <w:sz w:val="16"/>
          <w:szCs w:val="16"/>
        </w:rPr>
        <w:t xml:space="preserve"> </w:t>
      </w:r>
      <w:r w:rsidRPr="0086125C">
        <w:rPr>
          <w:rFonts w:ascii="Arial Narrow" w:eastAsia="Arial Narrow" w:hAnsi="Arial Narrow" w:cs="Arial Narrow"/>
          <w:i/>
          <w:iCs/>
          <w:sz w:val="16"/>
          <w:szCs w:val="16"/>
        </w:rPr>
        <w:t>aizsardzības</w:t>
      </w:r>
      <w:r w:rsidRPr="0086125C">
        <w:rPr>
          <w:rFonts w:ascii="Arial Narrow" w:eastAsia="Arial Narrow" w:hAnsi="Arial Narrow" w:cs="Arial Narrow"/>
          <w:i/>
          <w:iCs/>
          <w:sz w:val="16"/>
          <w:szCs w:val="16"/>
        </w:rPr>
        <w:t xml:space="preserve"> </w:t>
      </w:r>
      <w:r w:rsidRPr="0086125C">
        <w:rPr>
          <w:rFonts w:ascii="Arial Narrow" w:eastAsia="Arial Narrow" w:hAnsi="Arial Narrow" w:cs="Arial Narrow"/>
          <w:i/>
          <w:iCs/>
          <w:sz w:val="16"/>
          <w:szCs w:val="16"/>
        </w:rPr>
        <w:t>atbilstības</w:t>
      </w:r>
      <w:r w:rsidRPr="0086125C">
        <w:rPr>
          <w:rFonts w:ascii="Arial Narrow" w:eastAsia="Arial Narrow" w:hAnsi="Arial Narrow" w:cs="Arial Narrow"/>
          <w:i/>
          <w:iCs/>
          <w:sz w:val="16"/>
          <w:szCs w:val="16"/>
        </w:rPr>
        <w:t xml:space="preserve"> </w:t>
      </w:r>
      <w:r w:rsidRPr="0086125C">
        <w:rPr>
          <w:rFonts w:ascii="Arial Narrow" w:eastAsia="Arial Narrow" w:hAnsi="Arial Narrow" w:cs="Arial Narrow"/>
          <w:i/>
          <w:iCs/>
          <w:sz w:val="16"/>
          <w:szCs w:val="16"/>
        </w:rPr>
        <w:t>riski</w:t>
      </w:r>
    </w:p>
    <w:p w:rsidR="00DB36E3" w:rsidRPr="0086125C" w:rsidP="0086125C" w14:paraId="1E17A9BC" w14:textId="173EC3F3">
      <w:pPr>
        <w:spacing w:after="0" w:line="360" w:lineRule="auto"/>
        <w:ind w:firstLine="720"/>
        <w:jc w:val="both"/>
        <w:rPr>
          <w:rFonts w:ascii="Arial Narrow" w:eastAsia="Arial Narrow" w:hAnsi="Arial Narrow" w:cs="Arial Narrow"/>
          <w:sz w:val="16"/>
          <w:szCs w:val="16"/>
        </w:rPr>
      </w:pPr>
      <w:r w:rsidRPr="0086125C">
        <w:rPr>
          <w:rFonts w:ascii="Arial Narrow" w:eastAsia="Arial Narrow" w:hAnsi="Arial Narrow" w:cs="Arial Narrow"/>
          <w:sz w:val="16"/>
          <w:szCs w:val="16"/>
        </w:rPr>
        <w:t>Koncerna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saimniecisko</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darbību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regulē</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dažādi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starptautiski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normatīvie</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akti</w:t>
      </w:r>
      <w:r w:rsidRPr="0086125C">
        <w:rPr>
          <w:rFonts w:ascii="Arial Narrow" w:eastAsia="Arial Narrow" w:hAnsi="Arial Narrow" w:cs="Arial Narrow"/>
          <w:sz w:val="16"/>
          <w:szCs w:val="16"/>
        </w:rPr>
        <w:t xml:space="preserve">, kas </w:t>
      </w:r>
      <w:r w:rsidRPr="0086125C">
        <w:rPr>
          <w:rFonts w:ascii="Arial Narrow" w:eastAsia="Arial Narrow" w:hAnsi="Arial Narrow" w:cs="Arial Narrow"/>
          <w:sz w:val="16"/>
          <w:szCs w:val="16"/>
        </w:rPr>
        <w:t>attiecas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uz</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lietotāju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pr</w:t>
      </w:r>
      <w:r w:rsidRPr="0086125C">
        <w:rPr>
          <w:rFonts w:ascii="Arial Narrow" w:eastAsia="Arial Narrow" w:hAnsi="Arial Narrow" w:cs="Arial Narrow"/>
          <w:sz w:val="16"/>
          <w:szCs w:val="16"/>
        </w:rPr>
        <w:t>ivātumu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datu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aizsardzību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reklāmu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mārketingu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informācijas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sniegšanu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izplatīšanu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elektroniskiem</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līgumiem</w:t>
      </w:r>
      <w:r w:rsidRPr="0086125C">
        <w:rPr>
          <w:rFonts w:ascii="Arial Narrow" w:eastAsia="Arial Narrow" w:hAnsi="Arial Narrow" w:cs="Arial Narrow"/>
          <w:sz w:val="16"/>
          <w:szCs w:val="16"/>
        </w:rPr>
        <w:t xml:space="preserve"> un </w:t>
      </w:r>
      <w:r w:rsidRPr="0086125C">
        <w:rPr>
          <w:rFonts w:ascii="Arial Narrow" w:eastAsia="Arial Narrow" w:hAnsi="Arial Narrow" w:cs="Arial Narrow"/>
          <w:sz w:val="16"/>
          <w:szCs w:val="16"/>
        </w:rPr>
        <w:t>citu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komunikāciju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patērētāju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aizsardzību</w:t>
      </w:r>
      <w:r w:rsidRPr="0086125C">
        <w:rPr>
          <w:rFonts w:ascii="Arial Narrow" w:eastAsia="Arial Narrow" w:hAnsi="Arial Narrow" w:cs="Arial Narrow"/>
          <w:sz w:val="16"/>
          <w:szCs w:val="16"/>
        </w:rPr>
        <w:t xml:space="preserve"> un </w:t>
      </w:r>
      <w:r w:rsidRPr="0086125C">
        <w:rPr>
          <w:rFonts w:ascii="Arial Narrow" w:eastAsia="Arial Narrow" w:hAnsi="Arial Narrow" w:cs="Arial Narrow"/>
          <w:sz w:val="16"/>
          <w:szCs w:val="16"/>
        </w:rPr>
        <w:t>tiešsaistes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maksājumu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pakalpojumiem</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Koncernā</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ir</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ieviesta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iekšējās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kontroles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struktūra</w:t>
      </w:r>
      <w:r w:rsidRPr="0086125C">
        <w:rPr>
          <w:rFonts w:ascii="Arial Narrow" w:eastAsia="Arial Narrow" w:hAnsi="Arial Narrow" w:cs="Arial Narrow"/>
          <w:sz w:val="16"/>
          <w:szCs w:val="16"/>
        </w:rPr>
        <w:t xml:space="preserve">, kas </w:t>
      </w:r>
      <w:r w:rsidRPr="0086125C">
        <w:rPr>
          <w:rFonts w:ascii="Arial Narrow" w:eastAsia="Arial Narrow" w:hAnsi="Arial Narrow" w:cs="Arial Narrow"/>
          <w:sz w:val="16"/>
          <w:szCs w:val="16"/>
        </w:rPr>
        <w:t>ietver</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 xml:space="preserve">IT </w:t>
      </w:r>
      <w:r w:rsidRPr="0086125C">
        <w:rPr>
          <w:rFonts w:ascii="Arial Narrow" w:eastAsia="Arial Narrow" w:hAnsi="Arial Narrow" w:cs="Arial Narrow"/>
          <w:sz w:val="16"/>
          <w:szCs w:val="16"/>
        </w:rPr>
        <w:t>risinājumus</w:t>
      </w:r>
      <w:r w:rsidRPr="0086125C">
        <w:rPr>
          <w:rFonts w:ascii="Arial Narrow" w:eastAsia="Arial Narrow" w:hAnsi="Arial Narrow" w:cs="Arial Narrow"/>
          <w:sz w:val="16"/>
          <w:szCs w:val="16"/>
        </w:rPr>
        <w:t xml:space="preserve"> un </w:t>
      </w:r>
      <w:r w:rsidRPr="0086125C">
        <w:rPr>
          <w:rFonts w:ascii="Arial Narrow" w:eastAsia="Arial Narrow" w:hAnsi="Arial Narrow" w:cs="Arial Narrow"/>
          <w:sz w:val="16"/>
          <w:szCs w:val="16"/>
        </w:rPr>
        <w:t>biznesa</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procedūras</w:t>
      </w:r>
      <w:r w:rsidRPr="0086125C">
        <w:rPr>
          <w:rFonts w:ascii="Arial Narrow" w:eastAsia="Arial Narrow" w:hAnsi="Arial Narrow" w:cs="Arial Narrow"/>
          <w:sz w:val="16"/>
          <w:szCs w:val="16"/>
        </w:rPr>
        <w:t xml:space="preserve">, kas </w:t>
      </w:r>
      <w:r w:rsidRPr="0086125C">
        <w:rPr>
          <w:rFonts w:ascii="Arial Narrow" w:eastAsia="Arial Narrow" w:hAnsi="Arial Narrow" w:cs="Arial Narrow"/>
          <w:sz w:val="16"/>
          <w:szCs w:val="16"/>
        </w:rPr>
        <w:t>veidotas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ar</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mērķi</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konstatēt</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iespējamu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neatbilstību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gadījumus</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pirms</w:t>
      </w:r>
      <w:r w:rsidRPr="0086125C">
        <w:rPr>
          <w:rFonts w:ascii="Arial Narrow" w:eastAsia="Arial Narrow" w:hAnsi="Arial Narrow" w:cs="Arial Narrow"/>
          <w:sz w:val="16"/>
          <w:szCs w:val="16"/>
        </w:rPr>
        <w:t xml:space="preserve"> tie </w:t>
      </w:r>
      <w:r w:rsidRPr="0086125C">
        <w:rPr>
          <w:rFonts w:ascii="Arial Narrow" w:eastAsia="Arial Narrow" w:hAnsi="Arial Narrow" w:cs="Arial Narrow"/>
          <w:sz w:val="16"/>
          <w:szCs w:val="16"/>
        </w:rPr>
        <w:t>ir</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materializējušies</w:t>
      </w:r>
      <w:r w:rsidRPr="0086125C">
        <w:rPr>
          <w:rFonts w:ascii="Arial Narrow" w:eastAsia="Arial Narrow" w:hAnsi="Arial Narrow" w:cs="Arial Narrow"/>
          <w:sz w:val="16"/>
          <w:szCs w:val="16"/>
        </w:rPr>
        <w:t xml:space="preserve">, un </w:t>
      </w:r>
      <w:r w:rsidRPr="0086125C">
        <w:rPr>
          <w:rFonts w:ascii="Arial Narrow" w:eastAsia="Arial Narrow" w:hAnsi="Arial Narrow" w:cs="Arial Narrow"/>
          <w:sz w:val="16"/>
          <w:szCs w:val="16"/>
        </w:rPr>
        <w:t>nodrošināt</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atbilstību</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attiecīgajām</w:t>
      </w:r>
      <w:r w:rsidRPr="0086125C">
        <w:rPr>
          <w:rFonts w:ascii="Arial Narrow" w:eastAsia="Arial Narrow" w:hAnsi="Arial Narrow" w:cs="Arial Narrow"/>
          <w:sz w:val="16"/>
          <w:szCs w:val="16"/>
        </w:rPr>
        <w:t xml:space="preserve"> </w:t>
      </w:r>
      <w:r w:rsidRPr="0086125C">
        <w:rPr>
          <w:rFonts w:ascii="Arial Narrow" w:eastAsia="Arial Narrow" w:hAnsi="Arial Narrow" w:cs="Arial Narrow"/>
          <w:sz w:val="16"/>
          <w:szCs w:val="16"/>
        </w:rPr>
        <w:t>prasībām</w:t>
      </w:r>
      <w:r w:rsidRPr="0086125C">
        <w:rPr>
          <w:rFonts w:ascii="Arial Narrow" w:eastAsia="Arial Narrow" w:hAnsi="Arial Narrow" w:cs="Arial Narrow"/>
          <w:sz w:val="16"/>
          <w:szCs w:val="16"/>
        </w:rPr>
        <w:t>.</w:t>
      </w:r>
      <w:r w:rsidRPr="0086125C">
        <w:rPr>
          <w:rFonts w:ascii="Arial Narrow" w:eastAsia="Arial Narrow" w:hAnsi="Arial Narrow" w:cs="Arial Narrow"/>
          <w:sz w:val="16"/>
          <w:szCs w:val="16"/>
        </w:rPr>
        <w:tab/>
      </w:r>
    </w:p>
    <w:p w:rsidR="00DB36E3" w:rsidP="00DB36E3" w14:paraId="375D1538" w14:textId="77777777">
      <w:pPr>
        <w:rPr>
          <w:rFonts w:ascii="Arial Narrow" w:eastAsia="Arial Narrow" w:hAnsi="Arial Narrow" w:cs="Arial Narrow"/>
          <w:b/>
          <w:bCs/>
          <w:sz w:val="14"/>
          <w:szCs w:val="14"/>
        </w:rPr>
      </w:pPr>
    </w:p>
    <w:p w:rsidR="004E630A" w:rsidRPr="004E630A" w:rsidP="004E630A" w14:paraId="0903C4D0" w14:textId="77777777">
      <w:pPr>
        <w:spacing w:after="0" w:line="360" w:lineRule="auto"/>
        <w:jc w:val="both"/>
        <w:rPr>
          <w:rFonts w:ascii="Arial Narrow" w:eastAsia="Arial Narrow" w:hAnsi="Arial Narrow" w:cs="Arial Narrow"/>
          <w:i/>
          <w:iCs/>
          <w:sz w:val="16"/>
          <w:szCs w:val="16"/>
        </w:rPr>
      </w:pPr>
      <w:r w:rsidRPr="004E630A">
        <w:rPr>
          <w:rFonts w:ascii="Arial Narrow" w:eastAsia="Arial Narrow" w:hAnsi="Arial Narrow" w:cs="Arial Narrow"/>
          <w:i/>
          <w:iCs/>
          <w:sz w:val="16"/>
          <w:szCs w:val="16"/>
        </w:rPr>
        <w:t>Tirgus</w:t>
      </w:r>
      <w:r w:rsidRPr="004E630A">
        <w:rPr>
          <w:rFonts w:ascii="Arial Narrow" w:eastAsia="Arial Narrow" w:hAnsi="Arial Narrow" w:cs="Arial Narrow"/>
          <w:i/>
          <w:iCs/>
          <w:sz w:val="16"/>
          <w:szCs w:val="16"/>
        </w:rPr>
        <w:t xml:space="preserve"> risks</w:t>
      </w:r>
    </w:p>
    <w:p w:rsidR="004E630A" w:rsidRPr="004E630A" w:rsidP="004E630A" w14:paraId="70A20D44" w14:textId="77777777">
      <w:pPr>
        <w:spacing w:after="0" w:line="360" w:lineRule="auto"/>
        <w:ind w:firstLine="720"/>
        <w:jc w:val="both"/>
        <w:rPr>
          <w:rFonts w:ascii="Arial Narrow" w:eastAsia="Arial Narrow" w:hAnsi="Arial Narrow" w:cs="Arial Narrow"/>
          <w:sz w:val="16"/>
          <w:szCs w:val="16"/>
        </w:rPr>
      </w:pPr>
      <w:r w:rsidRPr="004E630A">
        <w:rPr>
          <w:rFonts w:ascii="Arial Narrow" w:eastAsia="Arial Narrow" w:hAnsi="Arial Narrow" w:cs="Arial Narrow"/>
          <w:sz w:val="16"/>
          <w:szCs w:val="16"/>
        </w:rPr>
        <w:t>Koncerns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uzņemas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tirgus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risku</w:t>
      </w:r>
      <w:r w:rsidRPr="004E630A">
        <w:rPr>
          <w:rFonts w:ascii="Arial Narrow" w:eastAsia="Arial Narrow" w:hAnsi="Arial Narrow" w:cs="Arial Narrow"/>
          <w:sz w:val="16"/>
          <w:szCs w:val="16"/>
        </w:rPr>
        <w:t xml:space="preserve">, kas </w:t>
      </w:r>
      <w:r w:rsidRPr="004E630A">
        <w:rPr>
          <w:rFonts w:ascii="Arial Narrow" w:eastAsia="Arial Narrow" w:hAnsi="Arial Narrow" w:cs="Arial Narrow"/>
          <w:sz w:val="16"/>
          <w:szCs w:val="16"/>
        </w:rPr>
        <w:t>ir</w:t>
      </w:r>
      <w:r w:rsidRPr="004E630A">
        <w:rPr>
          <w:rFonts w:ascii="Arial Narrow" w:eastAsia="Arial Narrow" w:hAnsi="Arial Narrow" w:cs="Arial Narrow"/>
          <w:sz w:val="16"/>
          <w:szCs w:val="16"/>
        </w:rPr>
        <w:t xml:space="preserve"> risks, ka </w:t>
      </w:r>
      <w:r w:rsidRPr="004E630A">
        <w:rPr>
          <w:rFonts w:ascii="Arial Narrow" w:eastAsia="Arial Narrow" w:hAnsi="Arial Narrow" w:cs="Arial Narrow"/>
          <w:sz w:val="16"/>
          <w:szCs w:val="16"/>
        </w:rPr>
        <w:t>finanšu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instrumenta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patiesā</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vērtība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vai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tā</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nākotnes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naudas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plūsmas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būtiski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svārstīsies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tirgus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cenu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mainīguma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dēļ</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Tirgus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riski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rodas</w:t>
      </w:r>
      <w:r w:rsidRPr="004E630A">
        <w:rPr>
          <w:rFonts w:ascii="Arial Narrow" w:eastAsia="Arial Narrow" w:hAnsi="Arial Narrow" w:cs="Arial Narrow"/>
          <w:sz w:val="16"/>
          <w:szCs w:val="16"/>
        </w:rPr>
        <w:t xml:space="preserve"> no </w:t>
      </w:r>
      <w:r w:rsidRPr="004E630A">
        <w:rPr>
          <w:rFonts w:ascii="Arial Narrow" w:eastAsia="Arial Narrow" w:hAnsi="Arial Narrow" w:cs="Arial Narrow"/>
          <w:sz w:val="16"/>
          <w:szCs w:val="16"/>
        </w:rPr>
        <w:t>atklātām</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pozīcijām</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procentu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likmēs</w:t>
      </w:r>
      <w:r w:rsidRPr="004E630A">
        <w:rPr>
          <w:rFonts w:ascii="Arial Narrow" w:eastAsia="Arial Narrow" w:hAnsi="Arial Narrow" w:cs="Arial Narrow"/>
          <w:sz w:val="16"/>
          <w:szCs w:val="16"/>
        </w:rPr>
        <w:t xml:space="preserve"> un </w:t>
      </w:r>
      <w:r w:rsidRPr="004E630A">
        <w:rPr>
          <w:rFonts w:ascii="Arial Narrow" w:eastAsia="Arial Narrow" w:hAnsi="Arial Narrow" w:cs="Arial Narrow"/>
          <w:sz w:val="16"/>
          <w:szCs w:val="16"/>
        </w:rPr>
        <w:t>valūtu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produktos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visi</w:t>
      </w:r>
      <w:r w:rsidRPr="004E630A">
        <w:rPr>
          <w:rFonts w:ascii="Arial Narrow" w:eastAsia="Arial Narrow" w:hAnsi="Arial Narrow" w:cs="Arial Narrow"/>
          <w:sz w:val="16"/>
          <w:szCs w:val="16"/>
        </w:rPr>
        <w:t xml:space="preserve"> no </w:t>
      </w:r>
      <w:r w:rsidRPr="004E630A">
        <w:rPr>
          <w:rFonts w:ascii="Arial Narrow" w:eastAsia="Arial Narrow" w:hAnsi="Arial Narrow" w:cs="Arial Narrow"/>
          <w:sz w:val="16"/>
          <w:szCs w:val="16"/>
        </w:rPr>
        <w:t>kuriem</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pakļauti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vispārīgām</w:t>
      </w:r>
      <w:r w:rsidRPr="004E630A">
        <w:rPr>
          <w:rFonts w:ascii="Arial Narrow" w:eastAsia="Arial Narrow" w:hAnsi="Arial Narrow" w:cs="Arial Narrow"/>
          <w:sz w:val="16"/>
          <w:szCs w:val="16"/>
        </w:rPr>
        <w:t xml:space="preserve"> un </w:t>
      </w:r>
      <w:r w:rsidRPr="004E630A">
        <w:rPr>
          <w:rFonts w:ascii="Arial Narrow" w:eastAsia="Arial Narrow" w:hAnsi="Arial Narrow" w:cs="Arial Narrow"/>
          <w:sz w:val="16"/>
          <w:szCs w:val="16"/>
        </w:rPr>
        <w:t>konkrētām</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tirgus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izmaiņ</w:t>
      </w:r>
      <w:r w:rsidRPr="004E630A">
        <w:rPr>
          <w:rFonts w:ascii="Arial Narrow" w:eastAsia="Arial Narrow" w:hAnsi="Arial Narrow" w:cs="Arial Narrow"/>
          <w:sz w:val="16"/>
          <w:szCs w:val="16"/>
        </w:rPr>
        <w:t>ām</w:t>
      </w:r>
      <w:r w:rsidRPr="004E630A">
        <w:rPr>
          <w:rFonts w:ascii="Arial Narrow" w:eastAsia="Arial Narrow" w:hAnsi="Arial Narrow" w:cs="Arial Narrow"/>
          <w:sz w:val="16"/>
          <w:szCs w:val="16"/>
        </w:rPr>
        <w:t xml:space="preserve"> un </w:t>
      </w:r>
      <w:r w:rsidRPr="004E630A">
        <w:rPr>
          <w:rFonts w:ascii="Arial Narrow" w:eastAsia="Arial Narrow" w:hAnsi="Arial Narrow" w:cs="Arial Narrow"/>
          <w:sz w:val="16"/>
          <w:szCs w:val="16"/>
        </w:rPr>
        <w:t>izmaiņām</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svārstīguma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līmenī</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vai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tirgus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likmēs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vai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cenās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piemēram</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procentu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likmēs</w:t>
      </w:r>
      <w:r w:rsidRPr="004E630A">
        <w:rPr>
          <w:rFonts w:ascii="Arial Narrow" w:eastAsia="Arial Narrow" w:hAnsi="Arial Narrow" w:cs="Arial Narrow"/>
          <w:sz w:val="16"/>
          <w:szCs w:val="16"/>
        </w:rPr>
        <w:t>.</w:t>
      </w:r>
    </w:p>
    <w:p w:rsidR="004E630A" w:rsidP="00DB36E3" w14:paraId="5C64A110" w14:textId="7B52ED0D">
      <w:pPr>
        <w:rPr>
          <w:rFonts w:ascii="Arial Narrow" w:eastAsia="Arial Narrow" w:hAnsi="Arial Narrow" w:cs="Arial Narrow"/>
          <w:b/>
          <w:bCs/>
          <w:sz w:val="14"/>
          <w:szCs w:val="14"/>
        </w:rPr>
        <w:sectPr w:rsidSect="00FE2B21">
          <w:headerReference w:type="even" r:id="rId204"/>
          <w:headerReference w:type="default" r:id="rId205"/>
          <w:footerReference w:type="even" r:id="rId206"/>
          <w:footerReference w:type="default" r:id="rId207"/>
          <w:headerReference w:type="first" r:id="rId208"/>
          <w:footerReference w:type="first" r:id="rId209"/>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p>
    <w:p w:rsidR="00DB36E3" w:rsidRPr="004E630A" w:rsidP="004E630A" w14:paraId="3B1F9E76" w14:textId="7BAEBD4E">
      <w:pPr>
        <w:spacing w:after="0" w:line="360" w:lineRule="auto"/>
        <w:jc w:val="both"/>
        <w:rPr>
          <w:rFonts w:ascii="Arial Narrow" w:eastAsia="Arial Narrow" w:hAnsi="Arial Narrow" w:cs="Arial Narrow"/>
          <w:sz w:val="16"/>
          <w:szCs w:val="16"/>
        </w:rPr>
      </w:pPr>
      <w:r>
        <w:rPr>
          <w:rFonts w:ascii="Arial Narrow" w:eastAsia="Arial Narrow" w:hAnsi="Arial Narrow" w:cs="Arial Narrow"/>
          <w:b/>
          <w:bCs/>
          <w:sz w:val="16"/>
          <w:szCs w:val="16"/>
        </w:rPr>
        <w:t>40</w:t>
      </w:r>
      <w:r w:rsidRPr="004E630A">
        <w:rPr>
          <w:rFonts w:ascii="Arial Narrow" w:eastAsia="Arial Narrow" w:hAnsi="Arial Narrow" w:cs="Arial Narrow"/>
          <w:b/>
          <w:bCs/>
          <w:sz w:val="16"/>
          <w:szCs w:val="16"/>
        </w:rPr>
        <w:t xml:space="preserve">. </w:t>
      </w:r>
      <w:r w:rsidRPr="004E630A">
        <w:rPr>
          <w:rFonts w:ascii="Arial Narrow" w:eastAsia="Arial Narrow" w:hAnsi="Arial Narrow" w:cs="Arial Narrow"/>
          <w:b/>
          <w:bCs/>
          <w:sz w:val="16"/>
          <w:szCs w:val="16"/>
        </w:rPr>
        <w:t>Finanšu</w:t>
      </w:r>
      <w:r w:rsidRPr="004E630A">
        <w:rPr>
          <w:rFonts w:ascii="Arial Narrow" w:eastAsia="Arial Narrow" w:hAnsi="Arial Narrow" w:cs="Arial Narrow"/>
          <w:b/>
          <w:bCs/>
          <w:sz w:val="16"/>
          <w:szCs w:val="16"/>
        </w:rPr>
        <w:t xml:space="preserve"> </w:t>
      </w:r>
      <w:r w:rsidRPr="004E630A">
        <w:rPr>
          <w:rFonts w:ascii="Arial Narrow" w:eastAsia="Arial Narrow" w:hAnsi="Arial Narrow" w:cs="Arial Narrow"/>
          <w:b/>
          <w:bCs/>
          <w:sz w:val="16"/>
          <w:szCs w:val="16"/>
        </w:rPr>
        <w:t>risku</w:t>
      </w:r>
      <w:r w:rsidRPr="004E630A">
        <w:rPr>
          <w:rFonts w:ascii="Arial Narrow" w:eastAsia="Arial Narrow" w:hAnsi="Arial Narrow" w:cs="Arial Narrow"/>
          <w:b/>
          <w:bCs/>
          <w:sz w:val="16"/>
          <w:szCs w:val="16"/>
        </w:rPr>
        <w:t xml:space="preserve"> </w:t>
      </w:r>
      <w:r w:rsidRPr="004E630A">
        <w:rPr>
          <w:rFonts w:ascii="Arial Narrow" w:eastAsia="Arial Narrow" w:hAnsi="Arial Narrow" w:cs="Arial Narrow"/>
          <w:b/>
          <w:bCs/>
          <w:sz w:val="16"/>
          <w:szCs w:val="16"/>
        </w:rPr>
        <w:t>vadība</w:t>
      </w:r>
      <w:r w:rsidRPr="004E630A">
        <w:rPr>
          <w:rFonts w:ascii="Arial Narrow" w:eastAsia="Arial Narrow" w:hAnsi="Arial Narrow" w:cs="Arial Narrow"/>
          <w:b/>
          <w:bCs/>
          <w:sz w:val="16"/>
          <w:szCs w:val="16"/>
        </w:rPr>
        <w:t xml:space="preserve"> (</w:t>
      </w:r>
      <w:r w:rsidRPr="004E630A">
        <w:rPr>
          <w:rFonts w:ascii="Arial Narrow" w:eastAsia="Arial Narrow" w:hAnsi="Arial Narrow" w:cs="Arial Narrow"/>
          <w:b/>
          <w:bCs/>
          <w:sz w:val="16"/>
          <w:szCs w:val="16"/>
        </w:rPr>
        <w:t>turpinājums</w:t>
      </w:r>
      <w:r w:rsidRPr="004E630A">
        <w:rPr>
          <w:rFonts w:ascii="Arial Narrow" w:eastAsia="Arial Narrow" w:hAnsi="Arial Narrow" w:cs="Arial Narrow"/>
          <w:b/>
          <w:bCs/>
          <w:sz w:val="16"/>
          <w:szCs w:val="16"/>
        </w:rPr>
        <w:t>)</w:t>
      </w:r>
    </w:p>
    <w:p w:rsidR="004E630A" w:rsidP="004E630A" w14:paraId="7024F5B3" w14:textId="77777777">
      <w:pPr>
        <w:spacing w:after="0" w:line="360" w:lineRule="auto"/>
        <w:jc w:val="both"/>
        <w:rPr>
          <w:rFonts w:ascii="Arial Narrow" w:eastAsia="Arial Narrow" w:hAnsi="Arial Narrow" w:cs="Arial Narrow"/>
          <w:i/>
          <w:iCs/>
          <w:sz w:val="16"/>
          <w:szCs w:val="16"/>
        </w:rPr>
      </w:pPr>
    </w:p>
    <w:p w:rsidR="00DB36E3" w:rsidRPr="004E630A" w:rsidP="004E630A" w14:paraId="53E1E444" w14:textId="54F2BB47">
      <w:pPr>
        <w:spacing w:after="0" w:line="360" w:lineRule="auto"/>
        <w:jc w:val="both"/>
        <w:rPr>
          <w:rFonts w:ascii="Arial Narrow" w:eastAsia="Arial Narrow" w:hAnsi="Arial Narrow" w:cs="Arial Narrow"/>
          <w:i/>
          <w:iCs/>
          <w:sz w:val="16"/>
          <w:szCs w:val="16"/>
        </w:rPr>
      </w:pPr>
      <w:r w:rsidRPr="004E630A">
        <w:rPr>
          <w:rFonts w:ascii="Arial Narrow" w:eastAsia="Arial Narrow" w:hAnsi="Arial Narrow" w:cs="Arial Narrow"/>
          <w:i/>
          <w:iCs/>
          <w:sz w:val="16"/>
          <w:szCs w:val="16"/>
        </w:rPr>
        <w:t>Finanšu</w:t>
      </w:r>
      <w:r w:rsidRPr="004E630A">
        <w:rPr>
          <w:rFonts w:ascii="Arial Narrow" w:eastAsia="Arial Narrow" w:hAnsi="Arial Narrow" w:cs="Arial Narrow"/>
          <w:i/>
          <w:iCs/>
          <w:sz w:val="16"/>
          <w:szCs w:val="16"/>
        </w:rPr>
        <w:t xml:space="preserve"> </w:t>
      </w:r>
      <w:r w:rsidRPr="004E630A">
        <w:rPr>
          <w:rFonts w:ascii="Arial Narrow" w:eastAsia="Arial Narrow" w:hAnsi="Arial Narrow" w:cs="Arial Narrow"/>
          <w:i/>
          <w:iCs/>
          <w:sz w:val="16"/>
          <w:szCs w:val="16"/>
        </w:rPr>
        <w:t>riski</w:t>
      </w:r>
    </w:p>
    <w:p w:rsidR="00DB36E3" w:rsidRPr="004E630A" w:rsidP="004E630A" w14:paraId="1E24AFB8" w14:textId="0D3C0DBD">
      <w:pPr>
        <w:spacing w:after="0" w:line="360" w:lineRule="auto"/>
        <w:ind w:firstLine="720"/>
        <w:jc w:val="both"/>
        <w:rPr>
          <w:rFonts w:ascii="Arial Narrow" w:eastAsia="Arial Narrow" w:hAnsi="Arial Narrow" w:cs="Arial Narrow"/>
          <w:sz w:val="16"/>
          <w:szCs w:val="16"/>
        </w:rPr>
      </w:pPr>
      <w:r w:rsidRPr="004E630A">
        <w:rPr>
          <w:rFonts w:ascii="Arial Narrow" w:eastAsia="Arial Narrow" w:hAnsi="Arial Narrow" w:cs="Arial Narrow"/>
          <w:sz w:val="16"/>
          <w:szCs w:val="16"/>
        </w:rPr>
        <w:t>Galvenie</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finanšu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riski</w:t>
      </w:r>
      <w:r w:rsidRPr="004E630A">
        <w:rPr>
          <w:rFonts w:ascii="Arial Narrow" w:eastAsia="Arial Narrow" w:hAnsi="Arial Narrow" w:cs="Arial Narrow"/>
          <w:sz w:val="16"/>
          <w:szCs w:val="16"/>
        </w:rPr>
        <w:t xml:space="preserve">, kas </w:t>
      </w:r>
      <w:r w:rsidRPr="004E630A">
        <w:rPr>
          <w:rFonts w:ascii="Arial Narrow" w:eastAsia="Arial Narrow" w:hAnsi="Arial Narrow" w:cs="Arial Narrow"/>
          <w:sz w:val="16"/>
          <w:szCs w:val="16"/>
        </w:rPr>
        <w:t>rodas</w:t>
      </w:r>
      <w:r w:rsidRPr="004E630A">
        <w:rPr>
          <w:rFonts w:ascii="Arial Narrow" w:eastAsia="Arial Narrow" w:hAnsi="Arial Narrow" w:cs="Arial Narrow"/>
          <w:sz w:val="16"/>
          <w:szCs w:val="16"/>
        </w:rPr>
        <w:t xml:space="preserve"> no </w:t>
      </w:r>
      <w:r w:rsidRPr="004E630A">
        <w:rPr>
          <w:rFonts w:ascii="Arial Narrow" w:eastAsia="Arial Narrow" w:hAnsi="Arial Narrow" w:cs="Arial Narrow"/>
          <w:sz w:val="16"/>
          <w:szCs w:val="16"/>
        </w:rPr>
        <w:t>Koncerna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finanšu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instrumentiem</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procentu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likmju</w:t>
      </w:r>
      <w:r w:rsidRPr="004E630A">
        <w:rPr>
          <w:rFonts w:ascii="Arial Narrow" w:eastAsia="Arial Narrow" w:hAnsi="Arial Narrow" w:cs="Arial Narrow"/>
          <w:sz w:val="16"/>
          <w:szCs w:val="16"/>
        </w:rPr>
        <w:t xml:space="preserve"> risk</w:t>
      </w:r>
      <w:r w:rsidRPr="004E630A">
        <w:rPr>
          <w:rFonts w:ascii="Arial Narrow" w:eastAsia="Arial Narrow" w:hAnsi="Arial Narrow" w:cs="Arial Narrow"/>
          <w:sz w:val="16"/>
          <w:szCs w:val="16"/>
        </w:rPr>
        <w:t xml:space="preserve">s, </w:t>
      </w:r>
      <w:r w:rsidRPr="004E630A">
        <w:rPr>
          <w:rFonts w:ascii="Arial Narrow" w:eastAsia="Arial Narrow" w:hAnsi="Arial Narrow" w:cs="Arial Narrow"/>
          <w:sz w:val="16"/>
          <w:szCs w:val="16"/>
        </w:rPr>
        <w:t>likviditātes</w:t>
      </w:r>
      <w:r w:rsidRPr="004E630A">
        <w:rPr>
          <w:rFonts w:ascii="Arial Narrow" w:eastAsia="Arial Narrow" w:hAnsi="Arial Narrow" w:cs="Arial Narrow"/>
          <w:sz w:val="16"/>
          <w:szCs w:val="16"/>
        </w:rPr>
        <w:t xml:space="preserve"> risks un </w:t>
      </w:r>
      <w:r w:rsidRPr="004E630A">
        <w:rPr>
          <w:rFonts w:ascii="Arial Narrow" w:eastAsia="Arial Narrow" w:hAnsi="Arial Narrow" w:cs="Arial Narrow"/>
          <w:sz w:val="16"/>
          <w:szCs w:val="16"/>
        </w:rPr>
        <w:t>kredītrisks</w:t>
      </w:r>
      <w:r w:rsidRPr="004E630A">
        <w:rPr>
          <w:rFonts w:ascii="Arial Narrow" w:eastAsia="Arial Narrow" w:hAnsi="Arial Narrow" w:cs="Arial Narrow"/>
          <w:sz w:val="16"/>
          <w:szCs w:val="16"/>
        </w:rPr>
        <w:t>.</w:t>
      </w:r>
    </w:p>
    <w:p w:rsidR="004E630A" w:rsidP="004E630A" w14:paraId="77A2F929" w14:textId="77777777">
      <w:pPr>
        <w:spacing w:after="0" w:line="360" w:lineRule="auto"/>
        <w:jc w:val="both"/>
        <w:rPr>
          <w:rFonts w:ascii="Arial Narrow" w:eastAsia="Arial Narrow" w:hAnsi="Arial Narrow" w:cs="Arial Narrow"/>
          <w:i/>
          <w:iCs/>
          <w:sz w:val="16"/>
          <w:szCs w:val="16"/>
        </w:rPr>
      </w:pPr>
    </w:p>
    <w:p w:rsidR="00DB36E3" w:rsidRPr="004E630A" w:rsidP="004E630A" w14:paraId="0075E6F6" w14:textId="5C9FC059">
      <w:pPr>
        <w:spacing w:after="0" w:line="360" w:lineRule="auto"/>
        <w:jc w:val="both"/>
        <w:rPr>
          <w:rFonts w:ascii="Arial Narrow" w:eastAsia="Arial Narrow" w:hAnsi="Arial Narrow" w:cs="Arial Narrow"/>
          <w:i/>
          <w:iCs/>
          <w:sz w:val="16"/>
          <w:szCs w:val="16"/>
        </w:rPr>
      </w:pPr>
      <w:r w:rsidRPr="004E630A">
        <w:rPr>
          <w:rFonts w:ascii="Arial Narrow" w:eastAsia="Arial Narrow" w:hAnsi="Arial Narrow" w:cs="Arial Narrow"/>
          <w:i/>
          <w:iCs/>
          <w:sz w:val="16"/>
          <w:szCs w:val="16"/>
        </w:rPr>
        <w:t>Procentu</w:t>
      </w:r>
      <w:r w:rsidRPr="004E630A">
        <w:rPr>
          <w:rFonts w:ascii="Arial Narrow" w:eastAsia="Arial Narrow" w:hAnsi="Arial Narrow" w:cs="Arial Narrow"/>
          <w:i/>
          <w:iCs/>
          <w:sz w:val="16"/>
          <w:szCs w:val="16"/>
        </w:rPr>
        <w:t xml:space="preserve"> </w:t>
      </w:r>
      <w:r w:rsidRPr="004E630A">
        <w:rPr>
          <w:rFonts w:ascii="Arial Narrow" w:eastAsia="Arial Narrow" w:hAnsi="Arial Narrow" w:cs="Arial Narrow"/>
          <w:i/>
          <w:iCs/>
          <w:sz w:val="16"/>
          <w:szCs w:val="16"/>
        </w:rPr>
        <w:t>likmju</w:t>
      </w:r>
      <w:r w:rsidRPr="004E630A">
        <w:rPr>
          <w:rFonts w:ascii="Arial Narrow" w:eastAsia="Arial Narrow" w:hAnsi="Arial Narrow" w:cs="Arial Narrow"/>
          <w:i/>
          <w:iCs/>
          <w:sz w:val="16"/>
          <w:szCs w:val="16"/>
        </w:rPr>
        <w:t xml:space="preserve"> risks</w:t>
      </w:r>
    </w:p>
    <w:p w:rsidR="00DB36E3" w:rsidRPr="004E630A" w:rsidP="004E630A" w14:paraId="580B005B" w14:textId="1ACB3D50">
      <w:pPr>
        <w:spacing w:after="0" w:line="360" w:lineRule="auto"/>
        <w:ind w:firstLine="720"/>
        <w:jc w:val="both"/>
        <w:rPr>
          <w:rFonts w:ascii="Arial Narrow" w:eastAsia="Arial Narrow" w:hAnsi="Arial Narrow" w:cs="Arial Narrow"/>
          <w:sz w:val="16"/>
          <w:szCs w:val="16"/>
        </w:rPr>
      </w:pPr>
      <w:r w:rsidRPr="004E630A">
        <w:rPr>
          <w:rFonts w:ascii="Arial Narrow" w:eastAsia="Arial Narrow" w:hAnsi="Arial Narrow" w:cs="Arial Narrow"/>
          <w:sz w:val="16"/>
          <w:szCs w:val="16"/>
        </w:rPr>
        <w:t>Koncerns</w:t>
      </w:r>
      <w:r w:rsidRPr="004E630A">
        <w:rPr>
          <w:rFonts w:ascii="Arial Narrow" w:eastAsia="Arial Narrow" w:hAnsi="Arial Narrow" w:cs="Arial Narrow"/>
          <w:sz w:val="16"/>
          <w:szCs w:val="16"/>
        </w:rPr>
        <w:t xml:space="preserve"> nav </w:t>
      </w:r>
      <w:r w:rsidRPr="004E630A">
        <w:rPr>
          <w:rFonts w:ascii="Arial Narrow" w:eastAsia="Arial Narrow" w:hAnsi="Arial Narrow" w:cs="Arial Narrow"/>
          <w:sz w:val="16"/>
          <w:szCs w:val="16"/>
        </w:rPr>
        <w:t>pakļauts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procentu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likmju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riskam</w:t>
      </w:r>
      <w:r w:rsidRPr="004E630A">
        <w:rPr>
          <w:rFonts w:ascii="Arial Narrow" w:eastAsia="Arial Narrow" w:hAnsi="Arial Narrow" w:cs="Arial Narrow"/>
          <w:sz w:val="16"/>
          <w:szCs w:val="16"/>
        </w:rPr>
        <w:t xml:space="preserve">, jo </w:t>
      </w:r>
      <w:r w:rsidRPr="004E630A">
        <w:rPr>
          <w:rFonts w:ascii="Arial Narrow" w:eastAsia="Arial Narrow" w:hAnsi="Arial Narrow" w:cs="Arial Narrow"/>
          <w:sz w:val="16"/>
          <w:szCs w:val="16"/>
        </w:rPr>
        <w:t>visi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tā</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procentus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nesošie</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aktīvi</w:t>
      </w:r>
      <w:r w:rsidRPr="004E630A">
        <w:rPr>
          <w:rFonts w:ascii="Arial Narrow" w:eastAsia="Arial Narrow" w:hAnsi="Arial Narrow" w:cs="Arial Narrow"/>
          <w:sz w:val="16"/>
          <w:szCs w:val="16"/>
        </w:rPr>
        <w:t xml:space="preserve"> un </w:t>
      </w:r>
      <w:r w:rsidRPr="004E630A">
        <w:rPr>
          <w:rFonts w:ascii="Arial Narrow" w:eastAsia="Arial Narrow" w:hAnsi="Arial Narrow" w:cs="Arial Narrow"/>
          <w:sz w:val="16"/>
          <w:szCs w:val="16"/>
        </w:rPr>
        <w:t>saistības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fiksētu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procentu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likmi</w:t>
      </w:r>
      <w:r w:rsidRPr="004E630A">
        <w:rPr>
          <w:rFonts w:ascii="Arial Narrow" w:eastAsia="Arial Narrow" w:hAnsi="Arial Narrow" w:cs="Arial Narrow"/>
          <w:sz w:val="16"/>
          <w:szCs w:val="16"/>
        </w:rPr>
        <w:t>.</w:t>
      </w:r>
    </w:p>
    <w:p w:rsidR="004E630A" w:rsidP="004E630A" w14:paraId="4DE93E73" w14:textId="77777777">
      <w:pPr>
        <w:spacing w:after="0" w:line="360" w:lineRule="auto"/>
        <w:jc w:val="both"/>
        <w:rPr>
          <w:rFonts w:ascii="Arial Narrow" w:eastAsia="Arial Narrow" w:hAnsi="Arial Narrow" w:cs="Arial Narrow"/>
          <w:i/>
          <w:iCs/>
          <w:sz w:val="16"/>
          <w:szCs w:val="16"/>
        </w:rPr>
      </w:pPr>
    </w:p>
    <w:p w:rsidR="00DB36E3" w:rsidRPr="004E630A" w:rsidP="004E630A" w14:paraId="39199A92" w14:textId="423D8A23">
      <w:pPr>
        <w:spacing w:after="0" w:line="360" w:lineRule="auto"/>
        <w:jc w:val="both"/>
        <w:rPr>
          <w:rFonts w:ascii="Arial Narrow" w:eastAsia="Arial Narrow" w:hAnsi="Arial Narrow" w:cs="Arial Narrow"/>
          <w:i/>
          <w:iCs/>
          <w:sz w:val="16"/>
          <w:szCs w:val="16"/>
        </w:rPr>
      </w:pPr>
      <w:r w:rsidRPr="004E630A">
        <w:rPr>
          <w:rFonts w:ascii="Arial Narrow" w:eastAsia="Arial Narrow" w:hAnsi="Arial Narrow" w:cs="Arial Narrow"/>
          <w:i/>
          <w:iCs/>
          <w:sz w:val="16"/>
          <w:szCs w:val="16"/>
        </w:rPr>
        <w:t>Kapitāla</w:t>
      </w:r>
      <w:r w:rsidRPr="004E630A">
        <w:rPr>
          <w:rFonts w:ascii="Arial Narrow" w:eastAsia="Arial Narrow" w:hAnsi="Arial Narrow" w:cs="Arial Narrow"/>
          <w:i/>
          <w:iCs/>
          <w:sz w:val="16"/>
          <w:szCs w:val="16"/>
        </w:rPr>
        <w:t xml:space="preserve"> </w:t>
      </w:r>
      <w:r w:rsidRPr="004E630A">
        <w:rPr>
          <w:rFonts w:ascii="Arial Narrow" w:eastAsia="Arial Narrow" w:hAnsi="Arial Narrow" w:cs="Arial Narrow"/>
          <w:i/>
          <w:iCs/>
          <w:sz w:val="16"/>
          <w:szCs w:val="16"/>
        </w:rPr>
        <w:t>riska</w:t>
      </w:r>
      <w:r w:rsidRPr="004E630A">
        <w:rPr>
          <w:rFonts w:ascii="Arial Narrow" w:eastAsia="Arial Narrow" w:hAnsi="Arial Narrow" w:cs="Arial Narrow"/>
          <w:i/>
          <w:iCs/>
          <w:sz w:val="16"/>
          <w:szCs w:val="16"/>
        </w:rPr>
        <w:t xml:space="preserve"> </w:t>
      </w:r>
      <w:r w:rsidRPr="004E630A">
        <w:rPr>
          <w:rFonts w:ascii="Arial Narrow" w:eastAsia="Arial Narrow" w:hAnsi="Arial Narrow" w:cs="Arial Narrow"/>
          <w:i/>
          <w:iCs/>
          <w:sz w:val="16"/>
          <w:szCs w:val="16"/>
        </w:rPr>
        <w:t>vadība</w:t>
      </w:r>
    </w:p>
    <w:p w:rsidR="00DB36E3" w:rsidRPr="004E630A" w:rsidP="004E630A" w14:paraId="5FF0F698" w14:textId="39C92748">
      <w:pPr>
        <w:spacing w:after="0" w:line="360" w:lineRule="auto"/>
        <w:ind w:firstLine="720"/>
        <w:jc w:val="both"/>
        <w:rPr>
          <w:rFonts w:ascii="Arial Narrow" w:eastAsia="Arial Narrow" w:hAnsi="Arial Narrow" w:cs="Arial Narrow"/>
          <w:sz w:val="16"/>
          <w:szCs w:val="16"/>
        </w:rPr>
      </w:pPr>
      <w:r w:rsidRPr="004E630A">
        <w:rPr>
          <w:rFonts w:ascii="Arial Narrow" w:eastAsia="Arial Narrow" w:hAnsi="Arial Narrow" w:cs="Arial Narrow"/>
          <w:sz w:val="16"/>
          <w:szCs w:val="16"/>
        </w:rPr>
        <w:t>Vispārējās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kapitāla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riska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vadības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stratēģijas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w:t>
      </w:r>
      <w:r w:rsidRPr="004E630A">
        <w:rPr>
          <w:rFonts w:ascii="Arial Narrow" w:eastAsia="Arial Narrow" w:hAnsi="Arial Narrow" w:cs="Arial Narrow"/>
          <w:sz w:val="16"/>
          <w:szCs w:val="16"/>
        </w:rPr>
        <w:t>etvaros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Koncerns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izvērtē</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gan</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pašu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kapitāla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gan</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aizņēmumu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apjomu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Kapitāla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pārvaldību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Koncerns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īsteno</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mērķi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nodrošināt</w:t>
      </w:r>
      <w:r w:rsidRPr="004E630A">
        <w:rPr>
          <w:rFonts w:ascii="Arial Narrow" w:eastAsia="Arial Narrow" w:hAnsi="Arial Narrow" w:cs="Arial Narrow"/>
          <w:sz w:val="16"/>
          <w:szCs w:val="16"/>
        </w:rPr>
        <w:t xml:space="preserve">, ka </w:t>
      </w:r>
      <w:r w:rsidRPr="004E630A">
        <w:rPr>
          <w:rFonts w:ascii="Arial Narrow" w:eastAsia="Arial Narrow" w:hAnsi="Arial Narrow" w:cs="Arial Narrow"/>
          <w:sz w:val="16"/>
          <w:szCs w:val="16"/>
        </w:rPr>
        <w:t>tas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spējīgs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turpināt</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savu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darbību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Kapitāla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struktūras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uzturēšanai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vai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korekcijām</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Koncerns</w:t>
      </w:r>
      <w:r w:rsidRPr="004E630A">
        <w:rPr>
          <w:rFonts w:ascii="Arial Narrow" w:eastAsia="Arial Narrow" w:hAnsi="Arial Narrow" w:cs="Arial Narrow"/>
          <w:sz w:val="16"/>
          <w:szCs w:val="16"/>
        </w:rPr>
        <w:t xml:space="preserve"> var </w:t>
      </w:r>
      <w:r w:rsidRPr="004E630A">
        <w:rPr>
          <w:rFonts w:ascii="Arial Narrow" w:eastAsia="Arial Narrow" w:hAnsi="Arial Narrow" w:cs="Arial Narrow"/>
          <w:sz w:val="16"/>
          <w:szCs w:val="16"/>
        </w:rPr>
        <w:t>piesaistīt</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jaunus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kredītlīdzekļu</w:t>
      </w:r>
      <w:r w:rsidRPr="004E630A">
        <w:rPr>
          <w:rFonts w:ascii="Arial Narrow" w:eastAsia="Arial Narrow" w:hAnsi="Arial Narrow" w:cs="Arial Narrow"/>
          <w:sz w:val="16"/>
          <w:szCs w:val="16"/>
        </w:rPr>
        <w:t>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emitēt</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obligācijas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piesaistīt</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aizņēmumus</w:t>
      </w:r>
      <w:r w:rsidRPr="004E630A">
        <w:rPr>
          <w:rFonts w:ascii="Arial Narrow" w:eastAsia="Arial Narrow" w:hAnsi="Arial Narrow" w:cs="Arial Narrow"/>
          <w:sz w:val="16"/>
          <w:szCs w:val="16"/>
        </w:rPr>
        <w:t xml:space="preserve"> P2P </w:t>
      </w:r>
      <w:r w:rsidRPr="004E630A">
        <w:rPr>
          <w:rFonts w:ascii="Arial Narrow" w:eastAsia="Arial Narrow" w:hAnsi="Arial Narrow" w:cs="Arial Narrow"/>
          <w:sz w:val="16"/>
          <w:szCs w:val="16"/>
        </w:rPr>
        <w:t>platformās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palielināt</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pamatkapitālu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vai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pārdot</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aktīvus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lai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samazinātu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parādsaistības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Aizņēmumu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pārvaldībā</w:t>
      </w:r>
      <w:r w:rsidRPr="004E630A">
        <w:rPr>
          <w:rFonts w:ascii="Arial Narrow" w:eastAsia="Arial Narrow" w:hAnsi="Arial Narrow" w:cs="Arial Narrow"/>
          <w:sz w:val="16"/>
          <w:szCs w:val="16"/>
        </w:rPr>
        <w:t xml:space="preserve"> par </w:t>
      </w:r>
      <w:r w:rsidRPr="004E630A">
        <w:rPr>
          <w:rFonts w:ascii="Arial Narrow" w:eastAsia="Arial Narrow" w:hAnsi="Arial Narrow" w:cs="Arial Narrow"/>
          <w:sz w:val="16"/>
          <w:szCs w:val="16"/>
        </w:rPr>
        <w:t>galveno</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komponentu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tiek</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uzskatīta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aizdevēju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noteikto</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nosacījumu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uzraudzība</w:t>
      </w:r>
      <w:r w:rsidRPr="004E630A">
        <w:rPr>
          <w:rFonts w:ascii="Arial Narrow" w:eastAsia="Arial Narrow" w:hAnsi="Arial Narrow" w:cs="Arial Narrow"/>
          <w:sz w:val="16"/>
          <w:szCs w:val="16"/>
        </w:rPr>
        <w:t xml:space="preserve"> un </w:t>
      </w:r>
      <w:r w:rsidRPr="004E630A">
        <w:rPr>
          <w:rFonts w:ascii="Arial Narrow" w:eastAsia="Arial Narrow" w:hAnsi="Arial Narrow" w:cs="Arial Narrow"/>
          <w:sz w:val="16"/>
          <w:szCs w:val="16"/>
        </w:rPr>
        <w:t>ievērošana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kā</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w:t>
      </w:r>
      <w:r w:rsidRPr="004E630A">
        <w:rPr>
          <w:rFonts w:ascii="Arial Narrow" w:eastAsia="Arial Narrow" w:hAnsi="Arial Narrow" w:cs="Arial Narrow"/>
          <w:sz w:val="16"/>
          <w:szCs w:val="16"/>
        </w:rPr>
        <w:t>rī</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turpmāk</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nepieciešamo</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aizdevumu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plānošana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lai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nodrošinātu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Koncerna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komercdarbības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attīstību</w:t>
      </w:r>
      <w:r w:rsidRPr="004E630A">
        <w:rPr>
          <w:rFonts w:ascii="Arial Narrow" w:eastAsia="Arial Narrow" w:hAnsi="Arial Narrow" w:cs="Arial Narrow"/>
          <w:sz w:val="16"/>
          <w:szCs w:val="16"/>
        </w:rPr>
        <w:t>.</w:t>
      </w:r>
    </w:p>
    <w:p w:rsidR="00DB36E3" w:rsidRPr="004E630A" w:rsidP="004E630A" w14:paraId="6A1B2D3E" w14:textId="6644FCDD">
      <w:pPr>
        <w:spacing w:after="0" w:line="360" w:lineRule="auto"/>
        <w:ind w:firstLine="720"/>
        <w:jc w:val="both"/>
        <w:rPr>
          <w:rFonts w:ascii="Arial Narrow" w:eastAsia="Arial Narrow" w:hAnsi="Arial Narrow" w:cs="Arial Narrow"/>
          <w:sz w:val="16"/>
          <w:szCs w:val="16"/>
        </w:rPr>
      </w:pPr>
      <w:r w:rsidRPr="004E630A">
        <w:rPr>
          <w:rFonts w:ascii="Arial Narrow" w:eastAsia="Arial Narrow" w:hAnsi="Arial Narrow" w:cs="Arial Narrow"/>
          <w:sz w:val="16"/>
          <w:szCs w:val="16"/>
        </w:rPr>
        <w:t>Pašu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kapitālu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Koncerns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uzrauga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balstoties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uz</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kapitalizācijas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likmi</w:t>
      </w:r>
      <w:r w:rsidRPr="004E630A">
        <w:rPr>
          <w:rFonts w:ascii="Arial Narrow" w:eastAsia="Arial Narrow" w:hAnsi="Arial Narrow" w:cs="Arial Narrow"/>
          <w:sz w:val="16"/>
          <w:szCs w:val="16"/>
        </w:rPr>
        <w:t xml:space="preserve">, kas </w:t>
      </w:r>
      <w:r w:rsidRPr="004E630A">
        <w:rPr>
          <w:rFonts w:ascii="Arial Narrow" w:eastAsia="Arial Narrow" w:hAnsi="Arial Narrow" w:cs="Arial Narrow"/>
          <w:sz w:val="16"/>
          <w:szCs w:val="16"/>
        </w:rPr>
        <w:t>noteikta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Eiroobligāciju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prospektos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Šo</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rādītāju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aprēķina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dalot</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neto</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vērtību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iemaksātā</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kapitāla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nesadalītās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peļņas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rezervju</w:t>
      </w:r>
      <w:r w:rsidRPr="004E630A">
        <w:rPr>
          <w:rFonts w:ascii="Arial Narrow" w:eastAsia="Arial Narrow" w:hAnsi="Arial Narrow" w:cs="Arial Narrow"/>
          <w:sz w:val="16"/>
          <w:szCs w:val="16"/>
        </w:rPr>
        <w:t xml:space="preserve"> un </w:t>
      </w:r>
      <w:r w:rsidRPr="004E630A">
        <w:rPr>
          <w:rFonts w:ascii="Arial Narrow" w:eastAsia="Arial Narrow" w:hAnsi="Arial Narrow" w:cs="Arial Narrow"/>
          <w:sz w:val="16"/>
          <w:szCs w:val="16"/>
        </w:rPr>
        <w:t>akcionāru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aizdevumu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summu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neto</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kredītportfeļa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vērtību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Pārskata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perioda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laikā</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Koncerns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ievēroja</w:t>
      </w:r>
      <w:r w:rsidRPr="004E630A">
        <w:rPr>
          <w:rFonts w:ascii="Arial Narrow" w:eastAsia="Arial Narrow" w:hAnsi="Arial Narrow" w:cs="Arial Narrow"/>
          <w:sz w:val="16"/>
          <w:szCs w:val="16"/>
        </w:rPr>
        <w:t xml:space="preserve"> visas </w:t>
      </w:r>
      <w:r w:rsidRPr="004E630A">
        <w:rPr>
          <w:rFonts w:ascii="Arial Narrow" w:eastAsia="Arial Narrow" w:hAnsi="Arial Narrow" w:cs="Arial Narrow"/>
          <w:sz w:val="16"/>
          <w:szCs w:val="16"/>
        </w:rPr>
        <w:t>ārēji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noteiktās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kapitāla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prasības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kuras</w:t>
      </w:r>
      <w:r w:rsidRPr="004E630A">
        <w:rPr>
          <w:rFonts w:ascii="Arial Narrow" w:eastAsia="Arial Narrow" w:hAnsi="Arial Narrow" w:cs="Arial Narrow"/>
          <w:sz w:val="16"/>
          <w:szCs w:val="16"/>
        </w:rPr>
        <w:t xml:space="preserve"> tam </w:t>
      </w:r>
      <w:r w:rsidRPr="004E630A">
        <w:rPr>
          <w:rFonts w:ascii="Arial Narrow" w:eastAsia="Arial Narrow" w:hAnsi="Arial Narrow" w:cs="Arial Narrow"/>
          <w:sz w:val="16"/>
          <w:szCs w:val="16"/>
        </w:rPr>
        <w:t>ir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piemērojamas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kā</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norādīts</w:t>
      </w:r>
      <w:r w:rsidRPr="004E630A">
        <w:rPr>
          <w:rFonts w:ascii="Arial Narrow" w:eastAsia="Arial Narrow" w:hAnsi="Arial Narrow" w:cs="Arial Narrow"/>
          <w:sz w:val="16"/>
          <w:szCs w:val="16"/>
        </w:rPr>
        <w:t xml:space="preserve"> </w:t>
      </w:r>
      <w:r w:rsidRPr="008571C8">
        <w:rPr>
          <w:rFonts w:ascii="Arial Narrow" w:eastAsia="Arial Narrow" w:hAnsi="Arial Narrow" w:cs="Arial Narrow"/>
          <w:sz w:val="16"/>
          <w:szCs w:val="16"/>
        </w:rPr>
        <w:t>38</w:t>
      </w:r>
      <w:r w:rsidRPr="008571C8">
        <w:rPr>
          <w:rFonts w:ascii="Arial Narrow" w:eastAsia="Arial Narrow" w:hAnsi="Arial Narrow" w:cs="Arial Narrow"/>
          <w:sz w:val="16"/>
          <w:szCs w:val="16"/>
        </w:rPr>
        <w:t xml:space="preserve">. </w:t>
      </w:r>
      <w:r w:rsidRPr="008571C8">
        <w:rPr>
          <w:rFonts w:ascii="Arial Narrow" w:eastAsia="Arial Narrow" w:hAnsi="Arial Narrow" w:cs="Arial Narrow"/>
          <w:sz w:val="16"/>
          <w:szCs w:val="16"/>
        </w:rPr>
        <w:t>piezīmē</w:t>
      </w:r>
      <w:r w:rsidRPr="008571C8">
        <w:rPr>
          <w:rFonts w:ascii="Arial Narrow" w:eastAsia="Arial Narrow" w:hAnsi="Arial Narrow" w:cs="Arial Narrow"/>
          <w:sz w:val="16"/>
          <w:szCs w:val="16"/>
        </w:rPr>
        <w:t>.</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Koncernam</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jāpilda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papildu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finanšu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nosacījumi</w:t>
      </w:r>
      <w:r w:rsidRPr="004E630A">
        <w:rPr>
          <w:rFonts w:ascii="Arial Narrow" w:eastAsia="Arial Narrow" w:hAnsi="Arial Narrow" w:cs="Arial Narrow"/>
          <w:sz w:val="16"/>
          <w:szCs w:val="16"/>
        </w:rPr>
        <w:t xml:space="preserve">, kas </w:t>
      </w:r>
      <w:r w:rsidRPr="004E630A">
        <w:rPr>
          <w:rFonts w:ascii="Arial Narrow" w:eastAsia="Arial Narrow" w:hAnsi="Arial Narrow" w:cs="Arial Narrow"/>
          <w:sz w:val="16"/>
          <w:szCs w:val="16"/>
        </w:rPr>
        <w:t>saistīti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finansējumu</w:t>
      </w:r>
      <w:r w:rsidRPr="004E630A">
        <w:rPr>
          <w:rFonts w:ascii="Arial Narrow" w:eastAsia="Arial Narrow" w:hAnsi="Arial Narrow" w:cs="Arial Narrow"/>
          <w:sz w:val="16"/>
          <w:szCs w:val="16"/>
        </w:rPr>
        <w:t xml:space="preserve">, kas </w:t>
      </w:r>
      <w:r w:rsidRPr="004E630A">
        <w:rPr>
          <w:rFonts w:ascii="Arial Narrow" w:eastAsia="Arial Narrow" w:hAnsi="Arial Narrow" w:cs="Arial Narrow"/>
          <w:sz w:val="16"/>
          <w:szCs w:val="16"/>
        </w:rPr>
        <w:t>piesaistīts</w:t>
      </w:r>
      <w:r w:rsidRPr="004E630A">
        <w:rPr>
          <w:rFonts w:ascii="Arial Narrow" w:eastAsia="Arial Narrow" w:hAnsi="Arial Narrow" w:cs="Arial Narrow"/>
          <w:sz w:val="16"/>
          <w:szCs w:val="16"/>
        </w:rPr>
        <w:t xml:space="preserve"> no P2P </w:t>
      </w:r>
      <w:r w:rsidRPr="004E630A">
        <w:rPr>
          <w:rFonts w:ascii="Arial Narrow" w:eastAsia="Arial Narrow" w:hAnsi="Arial Narrow" w:cs="Arial Narrow"/>
          <w:sz w:val="16"/>
          <w:szCs w:val="16"/>
        </w:rPr>
        <w:t>platformas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Pārskata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gadā</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Koncerns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ievērojis</w:t>
      </w:r>
      <w:r w:rsidRPr="004E630A">
        <w:rPr>
          <w:rFonts w:ascii="Arial Narrow" w:eastAsia="Arial Narrow" w:hAnsi="Arial Narrow" w:cs="Arial Narrow"/>
          <w:sz w:val="16"/>
          <w:szCs w:val="16"/>
        </w:rPr>
        <w:t xml:space="preserve"> visas </w:t>
      </w:r>
      <w:r w:rsidRPr="004E630A">
        <w:rPr>
          <w:rFonts w:ascii="Arial Narrow" w:eastAsia="Arial Narrow" w:hAnsi="Arial Narrow" w:cs="Arial Narrow"/>
          <w:sz w:val="16"/>
          <w:szCs w:val="16"/>
        </w:rPr>
        <w:t>šādas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prasības</w:t>
      </w:r>
      <w:r w:rsidRPr="004E630A">
        <w:rPr>
          <w:rFonts w:ascii="Arial Narrow" w:eastAsia="Arial Narrow" w:hAnsi="Arial Narrow" w:cs="Arial Narrow"/>
          <w:sz w:val="16"/>
          <w:szCs w:val="16"/>
        </w:rPr>
        <w:t>.</w:t>
      </w:r>
    </w:p>
    <w:p w:rsidR="004E630A" w:rsidP="004E630A" w14:paraId="0E6DDEAF" w14:textId="77777777">
      <w:pPr>
        <w:spacing w:after="0" w:line="360" w:lineRule="auto"/>
        <w:jc w:val="both"/>
        <w:rPr>
          <w:rFonts w:ascii="Arial Narrow" w:eastAsia="Arial Narrow" w:hAnsi="Arial Narrow" w:cs="Arial Narrow"/>
          <w:i/>
          <w:iCs/>
          <w:sz w:val="16"/>
          <w:szCs w:val="16"/>
        </w:rPr>
      </w:pPr>
    </w:p>
    <w:p w:rsidR="00DB36E3" w:rsidRPr="004E630A" w:rsidP="004E630A" w14:paraId="2FA3859B" w14:textId="080DA489">
      <w:pPr>
        <w:spacing w:after="0" w:line="360" w:lineRule="auto"/>
        <w:jc w:val="both"/>
        <w:rPr>
          <w:rFonts w:ascii="Arial Narrow" w:eastAsia="Arial Narrow" w:hAnsi="Arial Narrow" w:cs="Arial Narrow"/>
          <w:i/>
          <w:iCs/>
          <w:sz w:val="16"/>
          <w:szCs w:val="16"/>
        </w:rPr>
      </w:pPr>
      <w:r w:rsidRPr="004E630A">
        <w:rPr>
          <w:rFonts w:ascii="Arial Narrow" w:eastAsia="Arial Narrow" w:hAnsi="Arial Narrow" w:cs="Arial Narrow"/>
          <w:i/>
          <w:iCs/>
          <w:sz w:val="16"/>
          <w:szCs w:val="16"/>
        </w:rPr>
        <w:t>Likviditātes</w:t>
      </w:r>
      <w:r w:rsidRPr="004E630A">
        <w:rPr>
          <w:rFonts w:ascii="Arial Narrow" w:eastAsia="Arial Narrow" w:hAnsi="Arial Narrow" w:cs="Arial Narrow"/>
          <w:i/>
          <w:iCs/>
          <w:sz w:val="16"/>
          <w:szCs w:val="16"/>
        </w:rPr>
        <w:t xml:space="preserve"> risks</w:t>
      </w:r>
    </w:p>
    <w:p w:rsidR="00DB36E3" w:rsidRPr="004E630A" w:rsidP="004E630A" w14:paraId="377A9D37" w14:textId="1A52089F">
      <w:pPr>
        <w:spacing w:after="0" w:line="360" w:lineRule="auto"/>
        <w:ind w:firstLine="720"/>
        <w:jc w:val="both"/>
        <w:rPr>
          <w:rFonts w:ascii="Arial Narrow" w:eastAsia="Arial Narrow" w:hAnsi="Arial Narrow" w:cs="Arial Narrow"/>
          <w:sz w:val="16"/>
          <w:szCs w:val="16"/>
        </w:rPr>
      </w:pPr>
      <w:r w:rsidRPr="004E630A">
        <w:rPr>
          <w:rFonts w:ascii="Arial Narrow" w:eastAsia="Arial Narrow" w:hAnsi="Arial Narrow" w:cs="Arial Narrow"/>
          <w:sz w:val="16"/>
          <w:szCs w:val="16"/>
        </w:rPr>
        <w:t>Likviditātes</w:t>
      </w:r>
      <w:r w:rsidRPr="004E630A">
        <w:rPr>
          <w:rFonts w:ascii="Arial Narrow" w:eastAsia="Arial Narrow" w:hAnsi="Arial Narrow" w:cs="Arial Narrow"/>
          <w:sz w:val="16"/>
          <w:szCs w:val="16"/>
        </w:rPr>
        <w:t xml:space="preserve"> risks </w:t>
      </w:r>
      <w:r w:rsidRPr="004E630A">
        <w:rPr>
          <w:rFonts w:ascii="Arial Narrow" w:eastAsia="Arial Narrow" w:hAnsi="Arial Narrow" w:cs="Arial Narrow"/>
          <w:sz w:val="16"/>
          <w:szCs w:val="16"/>
        </w:rPr>
        <w:t>ir</w:t>
      </w:r>
      <w:r w:rsidRPr="004E630A">
        <w:rPr>
          <w:rFonts w:ascii="Arial Narrow" w:eastAsia="Arial Narrow" w:hAnsi="Arial Narrow" w:cs="Arial Narrow"/>
          <w:sz w:val="16"/>
          <w:szCs w:val="16"/>
        </w:rPr>
        <w:t xml:space="preserve"> risks, ka </w:t>
      </w:r>
      <w:r w:rsidRPr="004E630A">
        <w:rPr>
          <w:rFonts w:ascii="Arial Narrow" w:eastAsia="Arial Narrow" w:hAnsi="Arial Narrow" w:cs="Arial Narrow"/>
          <w:sz w:val="16"/>
          <w:szCs w:val="16"/>
        </w:rPr>
        <w:t>Koncernam</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radīsies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grūtības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izpil</w:t>
      </w:r>
      <w:r w:rsidRPr="004E630A">
        <w:rPr>
          <w:rFonts w:ascii="Arial Narrow" w:eastAsia="Arial Narrow" w:hAnsi="Arial Narrow" w:cs="Arial Narrow"/>
          <w:sz w:val="16"/>
          <w:szCs w:val="16"/>
        </w:rPr>
        <w:t>dīt</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finanšu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saistības</w:t>
      </w:r>
      <w:r w:rsidRPr="004E630A">
        <w:rPr>
          <w:rFonts w:ascii="Arial Narrow" w:eastAsia="Arial Narrow" w:hAnsi="Arial Narrow" w:cs="Arial Narrow"/>
          <w:sz w:val="16"/>
          <w:szCs w:val="16"/>
        </w:rPr>
        <w:t xml:space="preserve">, kuru </w:t>
      </w:r>
      <w:r w:rsidRPr="004E630A">
        <w:rPr>
          <w:rFonts w:ascii="Arial Narrow" w:eastAsia="Arial Narrow" w:hAnsi="Arial Narrow" w:cs="Arial Narrow"/>
          <w:sz w:val="16"/>
          <w:szCs w:val="16"/>
        </w:rPr>
        <w:t>nokārtošanai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nepieciešama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skaidras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naudas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vai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citu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finanšu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aktīva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nodošana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Koncerna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pieeja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likviditātes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riska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vadībai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iespēju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robežās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nodrošināt</w:t>
      </w:r>
      <w:r w:rsidRPr="004E630A">
        <w:rPr>
          <w:rFonts w:ascii="Arial Narrow" w:eastAsia="Arial Narrow" w:hAnsi="Arial Narrow" w:cs="Arial Narrow"/>
          <w:sz w:val="16"/>
          <w:szCs w:val="16"/>
        </w:rPr>
        <w:t xml:space="preserve">, ka </w:t>
      </w:r>
      <w:r w:rsidRPr="004E630A">
        <w:rPr>
          <w:rFonts w:ascii="Arial Narrow" w:eastAsia="Arial Narrow" w:hAnsi="Arial Narrow" w:cs="Arial Narrow"/>
          <w:sz w:val="16"/>
          <w:szCs w:val="16"/>
        </w:rPr>
        <w:t>Koncerna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likviditāte</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visos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gadījumos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pietiekoša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lai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noteiktajos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term</w:t>
      </w:r>
      <w:r w:rsidRPr="004E630A">
        <w:rPr>
          <w:rFonts w:ascii="Arial Narrow" w:eastAsia="Arial Narrow" w:hAnsi="Arial Narrow" w:cs="Arial Narrow"/>
          <w:sz w:val="16"/>
          <w:szCs w:val="16"/>
        </w:rPr>
        <w:t>iņos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izpildītu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savas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saistības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gan</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normālos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gan</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ārkārtas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apstākļos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negūstot</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nepieņemama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apjoma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zaudējumus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vai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negatīvu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ietekmi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uz</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Koncerna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reputāciju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Likviditātes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risku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Koncerns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kontrolē</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izmantojot</w:t>
      </w:r>
      <w:r w:rsidRPr="004E630A">
        <w:rPr>
          <w:rFonts w:ascii="Arial Narrow" w:eastAsia="Arial Narrow" w:hAnsi="Arial Narrow" w:cs="Arial Narrow"/>
          <w:sz w:val="16"/>
          <w:szCs w:val="16"/>
        </w:rPr>
        <w:t xml:space="preserve"> P2P </w:t>
      </w:r>
      <w:r w:rsidRPr="004E630A">
        <w:rPr>
          <w:rFonts w:ascii="Arial Narrow" w:eastAsia="Arial Narrow" w:hAnsi="Arial Narrow" w:cs="Arial Narrow"/>
          <w:sz w:val="16"/>
          <w:szCs w:val="16"/>
        </w:rPr>
        <w:t>platformās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piesaistīto</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finansējumu</w:t>
      </w:r>
      <w:r w:rsidRPr="004E630A">
        <w:rPr>
          <w:rFonts w:ascii="Arial Narrow" w:eastAsia="Arial Narrow" w:hAnsi="Arial Narrow" w:cs="Arial Narrow"/>
          <w:sz w:val="16"/>
          <w:szCs w:val="16"/>
        </w:rPr>
        <w:t xml:space="preserve">, kas </w:t>
      </w:r>
      <w:r w:rsidRPr="004E630A">
        <w:rPr>
          <w:rFonts w:ascii="Arial Narrow" w:eastAsia="Arial Narrow" w:hAnsi="Arial Narrow" w:cs="Arial Narrow"/>
          <w:sz w:val="16"/>
          <w:szCs w:val="16"/>
        </w:rPr>
        <w:t>nodrošina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vadībai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lielāku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elastīgumu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aizņēmumu</w:t>
      </w:r>
      <w:r w:rsidRPr="004E630A">
        <w:rPr>
          <w:rFonts w:ascii="Arial Narrow" w:eastAsia="Arial Narrow" w:hAnsi="Arial Narrow" w:cs="Arial Narrow"/>
          <w:sz w:val="16"/>
          <w:szCs w:val="16"/>
        </w:rPr>
        <w:t xml:space="preserve"> un </w:t>
      </w:r>
      <w:r w:rsidRPr="004E630A">
        <w:rPr>
          <w:rFonts w:ascii="Arial Narrow" w:eastAsia="Arial Narrow" w:hAnsi="Arial Narrow" w:cs="Arial Narrow"/>
          <w:sz w:val="16"/>
          <w:szCs w:val="16"/>
        </w:rPr>
        <w:t>pieejamo</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naudas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līdzekļu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pārvaldīšanā</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Papildus</w:t>
      </w:r>
      <w:r w:rsidRPr="004E630A">
        <w:rPr>
          <w:rFonts w:ascii="Arial Narrow" w:eastAsia="Arial Narrow" w:hAnsi="Arial Narrow" w:cs="Arial Narrow"/>
          <w:sz w:val="16"/>
          <w:szCs w:val="16"/>
        </w:rPr>
        <w:t xml:space="preserve"> tam </w:t>
      </w:r>
      <w:r w:rsidRPr="004E630A">
        <w:rPr>
          <w:rFonts w:ascii="Arial Narrow" w:eastAsia="Arial Narrow" w:hAnsi="Arial Narrow" w:cs="Arial Narrow"/>
          <w:sz w:val="16"/>
          <w:szCs w:val="16"/>
        </w:rPr>
        <w:t>tā</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emitē</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obligācijas</w:t>
      </w:r>
      <w:r w:rsidRPr="004E630A">
        <w:rPr>
          <w:rFonts w:ascii="Arial Narrow" w:eastAsia="Arial Narrow" w:hAnsi="Arial Narrow" w:cs="Arial Narrow"/>
          <w:sz w:val="16"/>
          <w:szCs w:val="16"/>
        </w:rPr>
        <w:t xml:space="preserve"> un </w:t>
      </w:r>
      <w:r w:rsidRPr="004E630A">
        <w:rPr>
          <w:rFonts w:ascii="Arial Narrow" w:eastAsia="Arial Narrow" w:hAnsi="Arial Narrow" w:cs="Arial Narrow"/>
          <w:sz w:val="16"/>
          <w:szCs w:val="16"/>
        </w:rPr>
        <w:t>piesaista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ārēju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finansējumu</w:t>
      </w:r>
      <w:r w:rsidRPr="004E630A">
        <w:rPr>
          <w:rFonts w:ascii="Arial Narrow" w:eastAsia="Arial Narrow" w:hAnsi="Arial Narrow" w:cs="Arial Narrow"/>
          <w:sz w:val="16"/>
          <w:szCs w:val="16"/>
        </w:rPr>
        <w:t>.</w:t>
      </w:r>
      <w:r w:rsidRPr="004E630A">
        <w:rPr>
          <w:rFonts w:ascii="Arial Narrow" w:eastAsia="Arial Narrow" w:hAnsi="Arial Narrow" w:cs="Arial Narrow"/>
          <w:sz w:val="16"/>
          <w:szCs w:val="16"/>
        </w:rPr>
        <w:tab/>
      </w:r>
      <w:r w:rsidRPr="004E630A">
        <w:rPr>
          <w:rFonts w:ascii="Arial Narrow" w:eastAsia="Arial Narrow" w:hAnsi="Arial Narrow" w:cs="Arial Narrow"/>
          <w:sz w:val="16"/>
          <w:szCs w:val="16"/>
        </w:rPr>
        <w:tab/>
      </w:r>
    </w:p>
    <w:p w:rsidR="00714703" w:rsidP="004E630A" w14:textId="63016D8E">
      <w:pPr>
        <w:spacing w:after="0" w:line="360" w:lineRule="auto"/>
        <w:ind w:firstLine="720"/>
        <w:jc w:val="both"/>
        <w:rPr>
          <w:rFonts w:ascii="Arial Narrow" w:eastAsia="Arial Narrow" w:hAnsi="Arial Narrow" w:cs="Arial Narrow"/>
          <w:sz w:val="16"/>
          <w:szCs w:val="16"/>
        </w:rPr>
      </w:pPr>
      <w:r w:rsidRPr="004E630A">
        <w:rPr>
          <w:rFonts w:ascii="Arial Narrow" w:eastAsia="Arial Narrow" w:hAnsi="Arial Narrow" w:cs="Arial Narrow"/>
          <w:sz w:val="16"/>
          <w:szCs w:val="16"/>
        </w:rPr>
        <w:t xml:space="preserve">Starp </w:t>
      </w:r>
      <w:r w:rsidRPr="004E630A">
        <w:rPr>
          <w:rFonts w:ascii="Arial Narrow" w:eastAsia="Arial Narrow" w:hAnsi="Arial Narrow" w:cs="Arial Narrow"/>
          <w:sz w:val="16"/>
          <w:szCs w:val="16"/>
        </w:rPr>
        <w:t>aktīviem</w:t>
      </w:r>
      <w:r w:rsidRPr="004E630A">
        <w:rPr>
          <w:rFonts w:ascii="Arial Narrow" w:eastAsia="Arial Narrow" w:hAnsi="Arial Narrow" w:cs="Arial Narrow"/>
          <w:sz w:val="16"/>
          <w:szCs w:val="16"/>
        </w:rPr>
        <w:t xml:space="preserve"> un </w:t>
      </w:r>
      <w:r w:rsidRPr="004E630A">
        <w:rPr>
          <w:rFonts w:ascii="Arial Narrow" w:eastAsia="Arial Narrow" w:hAnsi="Arial Narrow" w:cs="Arial Narrow"/>
          <w:sz w:val="16"/>
          <w:szCs w:val="16"/>
        </w:rPr>
        <w:t>saistībām</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termiņu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līdz</w:t>
      </w:r>
      <w:r w:rsidRPr="004E630A">
        <w:rPr>
          <w:rFonts w:ascii="Arial Narrow" w:eastAsia="Arial Narrow" w:hAnsi="Arial Narrow" w:cs="Arial Narrow"/>
          <w:sz w:val="16"/>
          <w:szCs w:val="16"/>
        </w:rPr>
        <w:t xml:space="preserve"> 1 </w:t>
      </w:r>
      <w:r w:rsidRPr="004E630A">
        <w:rPr>
          <w:rFonts w:ascii="Arial Narrow" w:eastAsia="Arial Narrow" w:hAnsi="Arial Narrow" w:cs="Arial Narrow"/>
          <w:sz w:val="16"/>
          <w:szCs w:val="16"/>
        </w:rPr>
        <w:t>gadam</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liela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dzēšanas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termiņu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starpība</w:t>
      </w:r>
      <w:r w:rsidRPr="004E630A">
        <w:rPr>
          <w:rFonts w:ascii="Arial Narrow" w:eastAsia="Arial Narrow" w:hAnsi="Arial Narrow" w:cs="Arial Narrow"/>
          <w:sz w:val="16"/>
          <w:szCs w:val="16"/>
        </w:rPr>
        <w:t xml:space="preserve">, ko </w:t>
      </w:r>
      <w:r w:rsidRPr="004E630A">
        <w:rPr>
          <w:rFonts w:ascii="Arial Narrow" w:eastAsia="Arial Narrow" w:hAnsi="Arial Narrow" w:cs="Arial Narrow"/>
          <w:sz w:val="16"/>
          <w:szCs w:val="16"/>
        </w:rPr>
        <w:t>veido</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galvenokārt</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obligāciju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dzēšanas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termiņš</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Kā</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aprakstīts</w:t>
      </w:r>
      <w:r w:rsidRPr="004E630A">
        <w:rPr>
          <w:rFonts w:ascii="Arial Narrow" w:eastAsia="Arial Narrow" w:hAnsi="Arial Narrow" w:cs="Arial Narrow"/>
          <w:sz w:val="16"/>
          <w:szCs w:val="16"/>
        </w:rPr>
        <w:t xml:space="preserve"> </w:t>
      </w:r>
      <w:r w:rsidRPr="008A58D2">
        <w:rPr>
          <w:rFonts w:ascii="Arial Narrow" w:eastAsia="Arial Narrow" w:hAnsi="Arial Narrow" w:cs="Arial Narrow"/>
          <w:sz w:val="16"/>
          <w:szCs w:val="16"/>
        </w:rPr>
        <w:t>43</w:t>
      </w:r>
      <w:r w:rsidRPr="008571C8">
        <w:rPr>
          <w:rFonts w:ascii="Arial Narrow" w:eastAsia="Arial Narrow" w:hAnsi="Arial Narrow" w:cs="Arial Narrow"/>
          <w:sz w:val="16"/>
          <w:szCs w:val="16"/>
        </w:rPr>
        <w:t xml:space="preserve">. </w:t>
      </w:r>
      <w:r w:rsidRPr="008571C8">
        <w:rPr>
          <w:rFonts w:ascii="Arial Narrow" w:eastAsia="Arial Narrow" w:hAnsi="Arial Narrow" w:cs="Arial Narrow"/>
          <w:sz w:val="16"/>
          <w:szCs w:val="16"/>
        </w:rPr>
        <w:t>piezīmē</w:t>
      </w:r>
      <w:r w:rsidRPr="008571C8">
        <w:rPr>
          <w:rFonts w:ascii="Arial Narrow" w:eastAsia="Arial Narrow" w:hAnsi="Arial Narrow" w:cs="Arial Narrow"/>
          <w:sz w:val="16"/>
          <w:szCs w:val="16"/>
        </w:rPr>
        <w:t xml:space="preserve">, </w:t>
      </w:r>
      <w:r w:rsidRPr="008571C8">
        <w:rPr>
          <w:rFonts w:ascii="Arial Narrow" w:eastAsia="Arial Narrow" w:hAnsi="Arial Narrow" w:cs="Arial Narrow"/>
          <w:sz w:val="16"/>
          <w:szCs w:val="16"/>
        </w:rPr>
        <w:t>Mātes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sabiedrība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emitējusi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jaunas</w:t>
      </w:r>
      <w:r w:rsidRPr="004E630A">
        <w:rPr>
          <w:rFonts w:ascii="Arial Narrow" w:eastAsia="Arial Narrow" w:hAnsi="Arial Narrow" w:cs="Arial Narrow"/>
          <w:sz w:val="16"/>
          <w:szCs w:val="16"/>
        </w:rPr>
        <w:t xml:space="preserve"> 3 </w:t>
      </w:r>
      <w:r w:rsidRPr="004E630A">
        <w:rPr>
          <w:rFonts w:ascii="Arial Narrow" w:eastAsia="Arial Narrow" w:hAnsi="Arial Narrow" w:cs="Arial Narrow"/>
          <w:sz w:val="16"/>
          <w:szCs w:val="16"/>
        </w:rPr>
        <w:t>gadu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obligācijas</w:t>
      </w:r>
      <w:r w:rsidRPr="004E630A">
        <w:rPr>
          <w:rFonts w:ascii="Arial Narrow" w:eastAsia="Arial Narrow" w:hAnsi="Arial Narrow" w:cs="Arial Narrow"/>
          <w:sz w:val="16"/>
          <w:szCs w:val="16"/>
        </w:rPr>
        <w:t xml:space="preserve"> 30 </w:t>
      </w:r>
      <w:r w:rsidRPr="004E630A">
        <w:rPr>
          <w:rFonts w:ascii="Arial Narrow" w:eastAsia="Arial Narrow" w:hAnsi="Arial Narrow" w:cs="Arial Narrow"/>
          <w:sz w:val="16"/>
          <w:szCs w:val="16"/>
        </w:rPr>
        <w:t>miljonu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eiro</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vērtībā</w:t>
      </w:r>
      <w:r w:rsidRPr="004E630A">
        <w:rPr>
          <w:rFonts w:ascii="Arial Narrow" w:eastAsia="Arial Narrow" w:hAnsi="Arial Narrow" w:cs="Arial Narrow"/>
          <w:sz w:val="16"/>
          <w:szCs w:val="16"/>
        </w:rPr>
        <w:t xml:space="preserve">, kas </w:t>
      </w:r>
      <w:r w:rsidRPr="004E630A">
        <w:rPr>
          <w:rFonts w:ascii="Arial Narrow" w:eastAsia="Arial Narrow" w:hAnsi="Arial Narrow" w:cs="Arial Narrow"/>
          <w:sz w:val="16"/>
          <w:szCs w:val="16"/>
        </w:rPr>
        <w:t>kopā</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palielinātiem</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banku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aizdevumu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limitiem</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ļāvis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segt</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līgumos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noteikto</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naudas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plūsmu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neatbilstību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 xml:space="preserve">kas </w:t>
      </w:r>
      <w:r w:rsidRPr="004E630A">
        <w:rPr>
          <w:rFonts w:ascii="Arial Narrow" w:eastAsia="Arial Narrow" w:hAnsi="Arial Narrow" w:cs="Arial Narrow"/>
          <w:sz w:val="16"/>
          <w:szCs w:val="16"/>
        </w:rPr>
        <w:t>vērojama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pārskata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perioda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beigu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datumā</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Tā</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kā</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paredzams</w:t>
      </w:r>
      <w:r w:rsidRPr="004E630A">
        <w:rPr>
          <w:rFonts w:ascii="Arial Narrow" w:eastAsia="Arial Narrow" w:hAnsi="Arial Narrow" w:cs="Arial Narrow"/>
          <w:sz w:val="16"/>
          <w:szCs w:val="16"/>
        </w:rPr>
        <w:t xml:space="preserve">, ka </w:t>
      </w:r>
      <w:r w:rsidRPr="004E630A">
        <w:rPr>
          <w:rFonts w:ascii="Arial Narrow" w:eastAsia="Arial Narrow" w:hAnsi="Arial Narrow" w:cs="Arial Narrow"/>
          <w:sz w:val="16"/>
          <w:szCs w:val="16"/>
        </w:rPr>
        <w:t>Koncerna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darbības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finanšu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rezultāts</w:t>
      </w:r>
      <w:r w:rsidRPr="004E630A">
        <w:rPr>
          <w:rFonts w:ascii="Arial Narrow" w:eastAsia="Arial Narrow" w:hAnsi="Arial Narrow" w:cs="Arial Narrow"/>
          <w:sz w:val="16"/>
          <w:szCs w:val="16"/>
        </w:rPr>
        <w:t xml:space="preserve"> 202</w:t>
      </w:r>
      <w:r>
        <w:rPr>
          <w:rFonts w:ascii="Arial Narrow" w:eastAsia="Arial Narrow" w:hAnsi="Arial Narrow" w:cs="Arial Narrow"/>
          <w:sz w:val="16"/>
          <w:szCs w:val="16"/>
        </w:rPr>
        <w:t>2</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gadā</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būs</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peļņa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vadība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uzskata</w:t>
      </w:r>
      <w:r w:rsidRPr="004E630A">
        <w:rPr>
          <w:rFonts w:ascii="Arial Narrow" w:eastAsia="Arial Narrow" w:hAnsi="Arial Narrow" w:cs="Arial Narrow"/>
          <w:sz w:val="16"/>
          <w:szCs w:val="16"/>
        </w:rPr>
        <w:t xml:space="preserve">, ka </w:t>
      </w:r>
      <w:r w:rsidRPr="004E630A">
        <w:rPr>
          <w:rFonts w:ascii="Arial Narrow" w:eastAsia="Arial Narrow" w:hAnsi="Arial Narrow" w:cs="Arial Narrow"/>
          <w:sz w:val="16"/>
          <w:szCs w:val="16"/>
        </w:rPr>
        <w:t>likviditātes</w:t>
      </w:r>
      <w:r w:rsidRPr="004E630A">
        <w:rPr>
          <w:rFonts w:ascii="Arial Narrow" w:eastAsia="Arial Narrow" w:hAnsi="Arial Narrow" w:cs="Arial Narrow"/>
          <w:sz w:val="16"/>
          <w:szCs w:val="16"/>
        </w:rPr>
        <w:t xml:space="preserve"> risks </w:t>
      </w:r>
      <w:r w:rsidRPr="004E630A">
        <w:rPr>
          <w:rFonts w:ascii="Arial Narrow" w:eastAsia="Arial Narrow" w:hAnsi="Arial Narrow" w:cs="Arial Narrow"/>
          <w:sz w:val="16"/>
          <w:szCs w:val="16"/>
        </w:rPr>
        <w:t>pārskata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perioda</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beigu</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datumā</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ir</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pienācīgi</w:t>
      </w:r>
      <w:r w:rsidRPr="004E630A">
        <w:rPr>
          <w:rFonts w:ascii="Arial Narrow" w:eastAsia="Arial Narrow" w:hAnsi="Arial Narrow" w:cs="Arial Narrow"/>
          <w:sz w:val="16"/>
          <w:szCs w:val="16"/>
        </w:rPr>
        <w:t xml:space="preserve"> </w:t>
      </w:r>
      <w:r w:rsidRPr="004E630A">
        <w:rPr>
          <w:rFonts w:ascii="Arial Narrow" w:eastAsia="Arial Narrow" w:hAnsi="Arial Narrow" w:cs="Arial Narrow"/>
          <w:sz w:val="16"/>
          <w:szCs w:val="16"/>
        </w:rPr>
        <w:t>samazināts</w:t>
      </w:r>
      <w:r w:rsidRPr="004E630A">
        <w:rPr>
          <w:rFonts w:ascii="Arial Narrow" w:eastAsia="Arial Narrow" w:hAnsi="Arial Narrow" w:cs="Arial Narrow"/>
          <w:sz w:val="16"/>
          <w:szCs w:val="16"/>
        </w:rPr>
        <w:t xml:space="preserve">. </w:t>
      </w:r>
    </w:p>
    <w:p w:rsidR="006B740D" w:rsidRPr="006B740D" w:rsidP="006B740D" w14:paraId="036E3ED9" w14:textId="77777777">
      <w:pPr>
        <w:spacing w:after="0" w:line="360" w:lineRule="auto"/>
        <w:ind w:firstLine="720"/>
        <w:jc w:val="both"/>
        <w:rPr>
          <w:rFonts w:ascii="Arial Narrow" w:eastAsia="Arial Narrow" w:hAnsi="Arial Narrow" w:cs="Arial Narrow"/>
          <w:sz w:val="16"/>
          <w:szCs w:val="16"/>
          <w:lang w:val="lv-LV"/>
        </w:rPr>
      </w:pPr>
      <w:r w:rsidRPr="006B740D">
        <w:rPr>
          <w:rFonts w:ascii="Arial Narrow" w:eastAsia="Arial Narrow" w:hAnsi="Arial Narrow" w:cs="Arial Narrow"/>
          <w:sz w:val="16"/>
          <w:szCs w:val="16"/>
          <w:lang w:val="lv-LV"/>
        </w:rPr>
        <w:t>Tabulā ir uzrādītas naudas plūsmas, k</w:t>
      </w:r>
      <w:r w:rsidRPr="006B740D">
        <w:rPr>
          <w:rFonts w:ascii="Arial Narrow" w:eastAsia="Arial Narrow" w:hAnsi="Arial Narrow" w:cs="Arial Narrow"/>
          <w:sz w:val="16"/>
          <w:szCs w:val="16"/>
          <w:lang w:val="lv-LV"/>
        </w:rPr>
        <w:t>uras Koncerns saņem vai maksā saistībā ar neatvasinātām finanšu saistībām un aktīviem, kas turēti likviditātes riska vadības nolūkā, sadalījumā par atlikušajiem līgumā noteiktajiem dzēšanas termiņiem finanšu stāvokļa pārskata datumā. Tabulā uzrādītās summa</w:t>
      </w:r>
      <w:r w:rsidRPr="006B740D">
        <w:rPr>
          <w:rFonts w:ascii="Arial Narrow" w:eastAsia="Arial Narrow" w:hAnsi="Arial Narrow" w:cs="Arial Narrow"/>
          <w:sz w:val="16"/>
          <w:szCs w:val="16"/>
          <w:lang w:val="lv-LV"/>
        </w:rPr>
        <w:t>s veido līgumā noteiktās nediskontētas naudas plūsmas. Par aizņēmumiem maksājamās naudas plūsmas ietver aplēstos procentu maksājumus, pieņemot, ka dzēšanas datumā pamatsumma tiek atmaksāta pilnā apmērā.</w:t>
      </w:r>
    </w:p>
    <w:p w:rsidR="006B740D" w:rsidRPr="004E630A" w:rsidP="004E630A" w14:paraId="40792ADD" w14:textId="77777777">
      <w:pPr>
        <w:spacing w:after="0" w:line="360" w:lineRule="auto"/>
        <w:ind w:firstLine="720"/>
        <w:jc w:val="both"/>
        <w:rPr>
          <w:rFonts w:ascii="Arial Narrow" w:eastAsia="Arial Narrow" w:hAnsi="Arial Narrow" w:cs="Arial Narrow"/>
          <w:sz w:val="16"/>
          <w:szCs w:val="16"/>
        </w:rPr>
      </w:pPr>
      <w:r>
        <w:t xml:space="preserve"> </w:t>
      </w:r>
    </w:p>
    <w:p/>
    <w:tbl>
      <w:tblPr>
        <w:tblStyle w:val="CDMRange2"/>
        <w:tblW w:w="9600" w:type="dxa"/>
        <w:tblLayout w:type="fixed"/>
        <w:tblLook w:val="0600"/>
      </w:tblPr>
      <w:tblGrid>
        <w:gridCol w:w="4200"/>
        <w:gridCol w:w="900"/>
        <w:gridCol w:w="900"/>
        <w:gridCol w:w="900"/>
        <w:gridCol w:w="900"/>
        <w:gridCol w:w="900"/>
        <w:gridCol w:w="900"/>
      </w:tblGrid>
      <w:tr>
        <w:tblPrEx>
          <w:tblW w:w="9600" w:type="dxa"/>
          <w:tblLayout w:type="fixed"/>
          <w:tblLook w:val="0600"/>
        </w:tblPrEx>
        <w:trPr>
          <w:cantSplit/>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40. Finanšu risku vadība (turpinājums)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4500" w:type="dxa"/>
            <w:gridSpan w:val="5"/>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Līgumā noteiktā naudas plūsma</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Uzskaites vērtība</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Uz pieprasījumu</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Līdz 1 gadam</w:t>
            </w:r>
          </w:p>
        </w:tc>
        <w:tc>
          <w:tcPr>
            <w:tcW w:w="900" w:type="dxa"/>
            <w:vMerge w:val="restart"/>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1-5 gadi</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Ilgāk kā 5 gadi</w:t>
            </w:r>
          </w:p>
        </w:tc>
        <w:tc>
          <w:tcPr>
            <w:tcW w:w="900" w:type="dxa"/>
            <w:vMerge w:val="restart"/>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31.12.2021.</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Aktīvi</w:t>
            </w: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Nauda un naudas ekvivalenti</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403,812</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403,812</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403,812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Kredīti un izsniegtie avansi</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3,411,220</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2,613,507</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3,765,730</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503,390</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6,882,627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Aizdevumi saistītajām pusēm</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35,101,118</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4,215,634</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46,806,287</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51,021,921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Ieguldījumu vērtspapīri</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Saistīto pušu debitoru parādi</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1,380,291</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868,127</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1,380,116</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2,248,243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Pircēju un pasūtītāju parādi</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326,297</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10,579,384</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18,983,473</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29,562,857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 finanšu nomas izrietošas prasības</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2,467,177</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1,454,328</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3,031,514</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858,068</w:t>
            </w:r>
          </w:p>
        </w:tc>
        <w:tc>
          <w:tcPr>
            <w:tcW w:w="90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5,343,910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finanšu aktīvi</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43,089,915</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403,812</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19,730,980</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73,967,120</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1,361,481</w:t>
            </w:r>
          </w:p>
        </w:tc>
        <w:tc>
          <w:tcPr>
            <w:tcW w:w="90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95,463,393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4500" w:type="dxa"/>
            <w:gridSpan w:val="5"/>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Līgumā noteiktā naudas plūsma</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Uzskaites vērtība</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Uz pieprasījumu</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Līdz 1 gadam</w:t>
            </w:r>
          </w:p>
        </w:tc>
        <w:tc>
          <w:tcPr>
            <w:tcW w:w="900" w:type="dxa"/>
            <w:vMerge w:val="restart"/>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1-5 gadi</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Ilgāk kā 5 gadi</w:t>
            </w:r>
          </w:p>
        </w:tc>
        <w:tc>
          <w:tcPr>
            <w:tcW w:w="900" w:type="dxa"/>
            <w:vMerge w:val="restart"/>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31.12.2021.</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Saistības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Savstarpējās kreditēšanas platformās piesaistīts finansējums</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(5,795,768)</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(1,296,347)</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(2,689,317)</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(2,707,815)</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(6,693,479)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Īstermiņa aizņēmumi pret obligācijām </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(29,205,008)</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(3,300,000)</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(33,330,009)</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(36,630,009)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finanšu garantijām</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(2,008,420)</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(2,008,420)</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(2,008,420)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Aizņēmums no saistītām pusēm</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(1,705,000)</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(204,600)</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(2,482,480)</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(2,687,080)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Nomas saistības par lietošanas tiesību aktīviem</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(718,526)</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(130,571)</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(378,184)</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(213,336)</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(722,091)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Pārējie kreditori</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(1,541,836)</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(1,543,445)</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(1,543,445)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finanšu saistības</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(40,974,558)</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(6,474,963)</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(40,888,410)</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(2,921,151)</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(50,284,524)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Neto finanšu aktīvi / (saistības)</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2,115,357</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403,812</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13,256,017</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33,078,710</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(1,559,670)</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45,178,869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2E6D"/>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4500" w:type="dxa"/>
            <w:gridSpan w:val="5"/>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Līgumā noteiktā naudas plūsma</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Uzskaites vērtība</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Uz pieprasījumu</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Līdz 1 gadam</w:t>
            </w:r>
          </w:p>
        </w:tc>
        <w:tc>
          <w:tcPr>
            <w:tcW w:w="900" w:type="dxa"/>
            <w:vMerge w:val="restart"/>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1-5 gadi</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Ilgāk kā 5 gadi</w:t>
            </w:r>
          </w:p>
        </w:tc>
        <w:tc>
          <w:tcPr>
            <w:tcW w:w="900" w:type="dxa"/>
            <w:vMerge w:val="restart"/>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As at 31.12.2020.</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Aktīvi</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0"/>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Nauda un naudas ekvivalenti</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160,318</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160,318</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160,318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Kredīti un izsniegtie avansi</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9,111,131</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6,876,843</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10,389,693</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571,415</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17,837,951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Aizdevumi saistītajām pusēm</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28,579,295</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3,788,126</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33,968,595</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37,756,721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Ieguldījumu vērtspapīri</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609,000</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63,022</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569,969</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632,991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Saistīto pušu debitoru parādi</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542,937</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355,621</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187,171</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145</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542,937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Pircēju un pasūtītāju parādi</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420,792</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7,574,515</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22,660,554</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1,094,075</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31,329,144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 finanšu nomas izrietošas prasības</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2,872,116</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2,417,908</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3,145,113</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197,081</w:t>
            </w:r>
          </w:p>
        </w:tc>
        <w:tc>
          <w:tcPr>
            <w:tcW w:w="90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5,760,102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finanšu aktīvi</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42,295,589</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160,318</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21,076,035</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70,921,095</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1,862,716</w:t>
            </w:r>
          </w:p>
        </w:tc>
        <w:tc>
          <w:tcPr>
            <w:tcW w:w="90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94,020,164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40. Finanšu risku vadība (turpinājums)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4500" w:type="dxa"/>
            <w:gridSpan w:val="5"/>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center"/>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Līgumā noteiktā naudas plūsma</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Uzskaites vērtība</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Uz pieprasījumu</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Līdz 1 gadam</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1-5 gadi</w:t>
            </w:r>
          </w:p>
        </w:tc>
        <w:tc>
          <w:tcPr>
            <w:tcW w:w="9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Ilgāk kā 5 gadi</w:t>
            </w:r>
          </w:p>
        </w:tc>
        <w:tc>
          <w:tcPr>
            <w:tcW w:w="900" w:type="dxa"/>
            <w:vMerge w:val="restart"/>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31.12.2020.</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Saistības</w:t>
            </w: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Savstarpējās kreditēšanas platformās piesaistīts finansējums</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(13,585,370)</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(3,794,367)</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(12,540,618)</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(54,130)</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(16,389,115)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Īstermiņa aizņēmumi pret obligācijām </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(24,480,115)</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(25,230,115)</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(25,230,115)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Uzkrājumi finanšu garantijām</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(1,986,481)</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(1,986,481)</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(1,986,481)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Aizņēmums no bankas</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(1,689,826)</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(1,728,007)</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(1,728,007)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Nomas saistības par lietošanas tiesību aktīviem</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(1,138,704)</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(151,844)</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(437,110)</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(549,750)</w:t>
            </w:r>
          </w:p>
        </w:tc>
        <w:tc>
          <w:tcPr>
            <w:tcW w:w="900" w:type="dxa"/>
            <w:tcBorders>
              <w:top w:val="nil"/>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(1,138,704)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Pārējie kreditori</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(1,401,017)</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(1,401,017)</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(1,401,017)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finanšu saistības</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(44,281,513)</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(32,305,350)</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(14,964,209)</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(603,880)</w:t>
            </w:r>
          </w:p>
        </w:tc>
        <w:tc>
          <w:tcPr>
            <w:tcW w:w="900" w:type="dxa"/>
            <w:tcBorders>
              <w:top w:val="nil"/>
              <w:left w:val="nil"/>
              <w:bottom w:val="single" w:sz="4" w:space="0" w:color="000000"/>
              <w:right w:val="nil"/>
              <w:tl2br w:val="nil"/>
              <w:tr2bl w:val="nil"/>
            </w:tcBorders>
            <w:shd w:val="clear" w:color="FFFFFF" w:fill="DEEBF7"/>
            <w:noWrap w:val="0"/>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(47,873,439)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cantSplit/>
          <w:trHeight w:hRule="exact" w:val="255"/>
        </w:trPr>
        <w:tc>
          <w:tcPr>
            <w:tcW w:w="42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keepNext/>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Neto finanšu aktīvi / (saistības)</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(1,985,924)</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160,318</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(11,229,315)</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55,956,886</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1,258,836</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keepNext/>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46,146,725</w:t>
            </w:r>
          </w:p>
        </w:tc>
      </w:tr>
    </w:tbl>
    <w:p/>
    <w:p w:rsidR="0001678E" w:rsidRPr="00141936" w:rsidP="00141936" w14:paraId="02936BE9" w14:textId="0ADBD4E6">
      <w:pPr>
        <w:spacing w:after="0" w:line="360" w:lineRule="auto"/>
        <w:jc w:val="both"/>
        <w:rPr>
          <w:rFonts w:ascii="Arial Narrow" w:eastAsia="Arial Narrow" w:hAnsi="Arial Narrow" w:cs="Arial Narrow"/>
          <w:i/>
          <w:iCs/>
          <w:sz w:val="16"/>
          <w:szCs w:val="16"/>
        </w:rPr>
      </w:pPr>
      <w:bookmarkStart w:id="1233" w:name="RG_MARKER_6670"/>
      <w:r w:rsidRPr="00141936">
        <w:rPr>
          <w:rFonts w:ascii="Arial Narrow" w:eastAsia="Arial Narrow" w:hAnsi="Arial Narrow" w:cs="Arial Narrow"/>
          <w:i/>
          <w:iCs/>
          <w:sz w:val="16"/>
          <w:szCs w:val="16"/>
        </w:rPr>
        <w:t>Kredītrisks</w:t>
      </w:r>
      <w:bookmarkEnd w:id="1233"/>
    </w:p>
    <w:p w:rsidR="00141936" w:rsidP="00141936" w14:paraId="7A43FC23" w14:textId="77777777">
      <w:pPr>
        <w:spacing w:after="0" w:line="360" w:lineRule="auto"/>
        <w:jc w:val="both"/>
        <w:rPr>
          <w:rFonts w:ascii="Arial Narrow" w:eastAsia="Arial Narrow" w:hAnsi="Arial Narrow" w:cs="Arial Narrow"/>
          <w:sz w:val="16"/>
          <w:szCs w:val="16"/>
        </w:rPr>
      </w:pPr>
    </w:p>
    <w:p w:rsidR="0001678E" w:rsidRPr="00141936" w:rsidP="00141936" w14:paraId="59BFE4E9" w14:textId="1D2CBD82">
      <w:pPr>
        <w:spacing w:after="0" w:line="360" w:lineRule="auto"/>
        <w:jc w:val="both"/>
        <w:rPr>
          <w:rFonts w:ascii="Arial Narrow" w:eastAsia="Arial Narrow" w:hAnsi="Arial Narrow" w:cs="Arial Narrow"/>
          <w:sz w:val="16"/>
          <w:szCs w:val="16"/>
        </w:rPr>
      </w:pPr>
      <w:r w:rsidRPr="00141936">
        <w:rPr>
          <w:rFonts w:ascii="Arial Narrow" w:eastAsia="Arial Narrow" w:hAnsi="Arial Narrow" w:cs="Arial Narrow"/>
          <w:sz w:val="16"/>
          <w:szCs w:val="16"/>
        </w:rPr>
        <w:t>Koncerns ir pakļauts kredītriskam</w:t>
      </w:r>
      <w:r w:rsidRPr="00141936">
        <w:rPr>
          <w:rFonts w:ascii="Arial Narrow" w:eastAsia="Arial Narrow" w:hAnsi="Arial Narrow" w:cs="Arial Narrow"/>
          <w:sz w:val="16"/>
          <w:szCs w:val="16"/>
        </w:rPr>
        <w:t xml:space="preserve"> saistībā ar prasībām, kas izriet no finanšu nomas, kredītiem un izsniegtiem avansiem, debitoru parādiem un naudas un naudas ekvivalentiem. Maksimālo kredītrisku veido attiecīgo finanšu aktīvu bruto uzskaites vērtība.</w:t>
      </w:r>
    </w:p>
    <w:p w:rsidR="00141936" w:rsidP="00141936" w14:paraId="30E853F5" w14:textId="77777777">
      <w:pPr>
        <w:spacing w:after="0" w:line="360" w:lineRule="auto"/>
        <w:jc w:val="both"/>
        <w:rPr>
          <w:rFonts w:ascii="Arial Narrow" w:eastAsia="Arial Narrow" w:hAnsi="Arial Narrow" w:cs="Arial Narrow"/>
          <w:sz w:val="16"/>
          <w:szCs w:val="16"/>
        </w:rPr>
      </w:pPr>
    </w:p>
    <w:p w:rsidR="00714703" w:rsidRPr="00141936" w:rsidP="00141936" w14:textId="686BC1E9">
      <w:pPr>
        <w:spacing w:after="0" w:line="360" w:lineRule="auto"/>
        <w:jc w:val="both"/>
        <w:rPr>
          <w:rFonts w:ascii="Arial Narrow" w:eastAsia="Arial Narrow" w:hAnsi="Arial Narrow" w:cs="Arial Narrow"/>
          <w:sz w:val="16"/>
          <w:szCs w:val="16"/>
        </w:rPr>
      </w:pPr>
      <w:r w:rsidRPr="00141936">
        <w:rPr>
          <w:rFonts w:ascii="Arial Narrow" w:eastAsia="Arial Narrow" w:hAnsi="Arial Narrow" w:cs="Arial Narrow"/>
          <w:sz w:val="16"/>
          <w:szCs w:val="16"/>
        </w:rPr>
        <w:t xml:space="preserve">Galvenās kredītriska politikas jomas </w:t>
      </w:r>
      <w:r w:rsidRPr="00141936">
        <w:rPr>
          <w:rFonts w:ascii="Arial Narrow" w:eastAsia="Arial Narrow" w:hAnsi="Arial Narrow" w:cs="Arial Narrow"/>
          <w:sz w:val="16"/>
          <w:szCs w:val="16"/>
        </w:rPr>
        <w:t>saistītas ar nomas līguma slēgšanas procesu (ieskaitot nomnieka maksātspējas pārbaudi), uzraudzības metodes, kā arī lēmumu pieņemšanas principiem. Lai būtiski samazinātu kredītrisku, Koncerns par ķīlu izmanto finansēto automašīnu, bet kredītus izsniedz apj</w:t>
      </w:r>
      <w:r w:rsidRPr="00141936">
        <w:rPr>
          <w:rFonts w:ascii="Arial Narrow" w:eastAsia="Arial Narrow" w:hAnsi="Arial Narrow" w:cs="Arial Narrow"/>
          <w:sz w:val="16"/>
          <w:szCs w:val="16"/>
        </w:rPr>
        <w:t xml:space="preserve">omā, kas nepārsniedz </w:t>
      </w:r>
      <w:r>
        <w:rPr>
          <w:rFonts w:ascii="Arial Narrow" w:eastAsia="Arial Narrow" w:hAnsi="Arial Narrow" w:cs="Arial Narrow"/>
          <w:sz w:val="16"/>
          <w:szCs w:val="16"/>
        </w:rPr>
        <w:t>90</w:t>
      </w:r>
      <w:r w:rsidRPr="00141936">
        <w:rPr>
          <w:rFonts w:ascii="Arial Narrow" w:eastAsia="Arial Narrow" w:hAnsi="Arial Narrow" w:cs="Arial Narrow"/>
          <w:sz w:val="16"/>
          <w:szCs w:val="16"/>
        </w:rPr>
        <w:t>% no ķīlas tirgus vērtības.</w:t>
      </w:r>
    </w:p>
    <w:p/>
    <w:tbl>
      <w:tblPr>
        <w:tblStyle w:val="CDMRange1"/>
        <w:tblW w:w="9600" w:type="dxa"/>
        <w:tblLayout w:type="fixed"/>
        <w:tblLook w:val="0600"/>
      </w:tblPr>
      <w:tblGrid>
        <w:gridCol w:w="7800"/>
        <w:gridCol w:w="900"/>
        <w:gridCol w:w="900"/>
      </w:tblGrid>
      <w:tr>
        <w:tblPrEx>
          <w:tblW w:w="9600" w:type="dxa"/>
          <w:tblLayout w:type="fixed"/>
          <w:tblLook w:val="0600"/>
        </w:tblPrEx>
        <w:trPr>
          <w:trHeight w:hRule="exact" w:val="255"/>
        </w:trPr>
        <w:tc>
          <w:tcPr>
            <w:tcW w:w="78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78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 finanšu nomas izrietošas prasības</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2,960,441</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3,689,894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Kredīti un izsniegtie avansi</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4,330,888</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11,380,921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Aizdevumi radniecīgajām sabiedrībām</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35,101,118</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28,579,295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Ieguldījumi vērtspapīros</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609,000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Līguma aktīvi</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471,061</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370,948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Pircēju un pārējie parādi</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1,747,227</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1,257,690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Nauda un naudas ekvivalenti</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403,812</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160,318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78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 xml:space="preserve">KOPĀ: </w:t>
            </w:r>
          </w:p>
        </w:tc>
        <w:tc>
          <w:tcPr>
            <w:tcW w:w="90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45,014,547</w:t>
            </w:r>
          </w:p>
        </w:tc>
        <w:tc>
          <w:tcPr>
            <w:tcW w:w="900" w:type="dxa"/>
            <w:tcBorders>
              <w:top w:val="single" w:sz="4" w:space="0" w:color="000000"/>
              <w:left w:val="nil"/>
              <w:bottom w:val="double" w:sz="6" w:space="0" w:color="000000"/>
              <w:right w:val="nil"/>
              <w:tl2br w:val="nil"/>
              <w:tr2bl w:val="nil"/>
            </w:tcBorders>
            <w:shd w:val="clear" w:color="FFFFFF" w:fill="DEEBF7"/>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46,048,066</w:t>
            </w:r>
          </w:p>
        </w:tc>
      </w:tr>
    </w:tbl>
    <w:p/>
    <w:p w:rsidR="00277940" w:rsidRPr="001910AD" w:rsidP="001910AD" w14:paraId="13E9FE39" w14:textId="529C5047">
      <w:pPr>
        <w:spacing w:after="0" w:line="360" w:lineRule="auto"/>
        <w:jc w:val="both"/>
        <w:rPr>
          <w:rFonts w:ascii="Arial Narrow" w:eastAsia="Arial Narrow" w:hAnsi="Arial Narrow" w:cs="Arial Narrow"/>
          <w:sz w:val="16"/>
          <w:szCs w:val="16"/>
        </w:rPr>
      </w:pPr>
      <w:bookmarkStart w:id="1234" w:name="RG_MARKER_6671"/>
      <w:r w:rsidRPr="001910AD">
        <w:rPr>
          <w:rFonts w:ascii="Arial Narrow" w:eastAsia="Arial Narrow" w:hAnsi="Arial Narrow" w:cs="Arial Narrow"/>
          <w:sz w:val="16"/>
          <w:szCs w:val="16"/>
        </w:rPr>
        <w:t xml:space="preserve">Koncerns strādā, pielietojot skaidri noteiktus finanšu nomas piešķiršanas kritērijus. Šie kritēriji ietver izpratni par klientu, tā kredītvēsturi, atmaksas avotiem un nodrošinājumu. Novērtējot klienta kredītspēju, Koncerns ņem vērā klienta </w:t>
      </w:r>
      <w:bookmarkEnd w:id="1234"/>
      <w:r w:rsidRPr="001910AD">
        <w:rPr>
          <w:rFonts w:ascii="Arial Narrow" w:eastAsia="Arial Narrow" w:hAnsi="Arial Narrow" w:cs="Arial Narrow"/>
          <w:sz w:val="16"/>
          <w:szCs w:val="16"/>
        </w:rPr>
        <w:t>kvalitatīvos un kvantitatīvos faktorus. Pamatojoties uz šo analīzi, Koncerns nosaka klientam piešķiramā kredīta limitu.</w:t>
      </w:r>
    </w:p>
    <w:p w:rsidR="001910AD" w:rsidP="001910AD" w14:paraId="227D2B95" w14:textId="77777777">
      <w:pPr>
        <w:spacing w:after="0" w:line="360" w:lineRule="auto"/>
        <w:jc w:val="both"/>
        <w:rPr>
          <w:rFonts w:ascii="Arial Narrow" w:eastAsia="Arial Narrow" w:hAnsi="Arial Narrow" w:cs="Arial Narrow"/>
          <w:sz w:val="16"/>
          <w:szCs w:val="16"/>
        </w:rPr>
      </w:pPr>
    </w:p>
    <w:p w:rsidR="00277940" w:rsidRPr="001910AD" w:rsidP="001910AD" w14:paraId="5EE302DE" w14:textId="6CA8CAE9">
      <w:pPr>
        <w:spacing w:after="0" w:line="360" w:lineRule="auto"/>
        <w:jc w:val="both"/>
        <w:rPr>
          <w:rFonts w:ascii="Arial Narrow" w:eastAsia="Arial Narrow" w:hAnsi="Arial Narrow" w:cs="Arial Narrow"/>
          <w:sz w:val="16"/>
          <w:szCs w:val="16"/>
        </w:rPr>
      </w:pPr>
      <w:r w:rsidRPr="001910AD">
        <w:rPr>
          <w:rFonts w:ascii="Arial Narrow" w:eastAsia="Arial Narrow" w:hAnsi="Arial Narrow" w:cs="Arial Narrow"/>
          <w:sz w:val="16"/>
          <w:szCs w:val="16"/>
        </w:rPr>
        <w:t>Pēc</w:t>
      </w:r>
      <w:r w:rsidRPr="001910AD">
        <w:rPr>
          <w:rFonts w:ascii="Arial Narrow" w:eastAsia="Arial Narrow" w:hAnsi="Arial Narrow" w:cs="Arial Narrow"/>
          <w:sz w:val="16"/>
          <w:szCs w:val="16"/>
        </w:rPr>
        <w:t xml:space="preserve"> </w:t>
      </w:r>
      <w:r w:rsidRPr="001910AD">
        <w:rPr>
          <w:rFonts w:ascii="Arial Narrow" w:eastAsia="Arial Narrow" w:hAnsi="Arial Narrow" w:cs="Arial Narrow"/>
          <w:sz w:val="16"/>
          <w:szCs w:val="16"/>
        </w:rPr>
        <w:t>nomas</w:t>
      </w:r>
      <w:r w:rsidRPr="001910AD">
        <w:rPr>
          <w:rFonts w:ascii="Arial Narrow" w:eastAsia="Arial Narrow" w:hAnsi="Arial Narrow" w:cs="Arial Narrow"/>
          <w:sz w:val="16"/>
          <w:szCs w:val="16"/>
        </w:rPr>
        <w:t xml:space="preserve"> </w:t>
      </w:r>
      <w:r w:rsidRPr="001910AD">
        <w:rPr>
          <w:rFonts w:ascii="Arial Narrow" w:eastAsia="Arial Narrow" w:hAnsi="Arial Narrow" w:cs="Arial Narrow"/>
          <w:sz w:val="16"/>
          <w:szCs w:val="16"/>
        </w:rPr>
        <w:t>līguma</w:t>
      </w:r>
      <w:r w:rsidRPr="001910AD">
        <w:rPr>
          <w:rFonts w:ascii="Arial Narrow" w:eastAsia="Arial Narrow" w:hAnsi="Arial Narrow" w:cs="Arial Narrow"/>
          <w:sz w:val="16"/>
          <w:szCs w:val="16"/>
        </w:rPr>
        <w:t xml:space="preserve"> </w:t>
      </w:r>
      <w:r w:rsidRPr="001910AD">
        <w:rPr>
          <w:rFonts w:ascii="Arial Narrow" w:eastAsia="Arial Narrow" w:hAnsi="Arial Narrow" w:cs="Arial Narrow"/>
          <w:sz w:val="16"/>
          <w:szCs w:val="16"/>
        </w:rPr>
        <w:t>noslēgšanas</w:t>
      </w:r>
      <w:r w:rsidRPr="001910AD">
        <w:rPr>
          <w:rFonts w:ascii="Arial Narrow" w:eastAsia="Arial Narrow" w:hAnsi="Arial Narrow" w:cs="Arial Narrow"/>
          <w:sz w:val="16"/>
          <w:szCs w:val="16"/>
        </w:rPr>
        <w:t xml:space="preserve"> Koncerns veic nomas objekta un klienta maksātspējas uzraudzību. Koncerns ir izstrādājis nomas uzraudzības p</w:t>
      </w:r>
      <w:r w:rsidRPr="001910AD">
        <w:rPr>
          <w:rFonts w:ascii="Arial Narrow" w:eastAsia="Arial Narrow" w:hAnsi="Arial Narrow" w:cs="Arial Narrow"/>
          <w:sz w:val="16"/>
          <w:szCs w:val="16"/>
        </w:rPr>
        <w:t>rocesu tādā veidā, kas palīdz ātri atklāt jebkādus attiecīgā līguma nosacījumu pārkāpumus. Koncerns nepārtraukti uzrauga debitoru parādu atlikumus, lai mazinātu neatgūstamo parādu rašanās iespēju. Ja nepieciešams, tiek izveidoti attiecīgi uzkrājumi.</w:t>
      </w:r>
    </w:p>
    <w:p w:rsidR="001910AD" w:rsidP="001910AD" w14:paraId="3CBC50AB" w14:textId="77777777">
      <w:pPr>
        <w:spacing w:after="0" w:line="360" w:lineRule="auto"/>
        <w:jc w:val="both"/>
        <w:rPr>
          <w:rFonts w:ascii="Arial Narrow" w:eastAsia="Arial Narrow" w:hAnsi="Arial Narrow" w:cs="Arial Narrow"/>
          <w:sz w:val="16"/>
          <w:szCs w:val="16"/>
        </w:rPr>
      </w:pPr>
    </w:p>
    <w:p w:rsidR="00277940" w:rsidRPr="001910AD" w:rsidP="001910AD" w14:paraId="7BBB012F" w14:textId="36FDAC00">
      <w:pPr>
        <w:spacing w:after="0" w:line="360" w:lineRule="auto"/>
        <w:jc w:val="both"/>
        <w:rPr>
          <w:rFonts w:ascii="Arial Narrow" w:eastAsia="Arial Narrow" w:hAnsi="Arial Narrow" w:cs="Arial Narrow"/>
          <w:sz w:val="16"/>
          <w:szCs w:val="16"/>
        </w:rPr>
      </w:pPr>
      <w:r w:rsidRPr="001910AD">
        <w:rPr>
          <w:rFonts w:ascii="Arial Narrow" w:eastAsia="Arial Narrow" w:hAnsi="Arial Narrow" w:cs="Arial Narrow"/>
          <w:sz w:val="16"/>
          <w:szCs w:val="16"/>
        </w:rPr>
        <w:t>Beidzo</w:t>
      </w:r>
      <w:r w:rsidRPr="001910AD">
        <w:rPr>
          <w:rFonts w:ascii="Arial Narrow" w:eastAsia="Arial Narrow" w:hAnsi="Arial Narrow" w:cs="Arial Narrow"/>
          <w:sz w:val="16"/>
          <w:szCs w:val="16"/>
        </w:rPr>
        <w:t>ties</w:t>
      </w:r>
      <w:r w:rsidRPr="001910AD">
        <w:rPr>
          <w:rFonts w:ascii="Arial Narrow" w:eastAsia="Arial Narrow" w:hAnsi="Arial Narrow" w:cs="Arial Narrow"/>
          <w:sz w:val="16"/>
          <w:szCs w:val="16"/>
        </w:rPr>
        <w:t xml:space="preserve"> </w:t>
      </w:r>
      <w:r w:rsidRPr="001910AD">
        <w:rPr>
          <w:rFonts w:ascii="Arial Narrow" w:eastAsia="Arial Narrow" w:hAnsi="Arial Narrow" w:cs="Arial Narrow"/>
          <w:sz w:val="16"/>
          <w:szCs w:val="16"/>
        </w:rPr>
        <w:t>transportlīdzekļa</w:t>
      </w:r>
      <w:r w:rsidRPr="001910AD">
        <w:rPr>
          <w:rFonts w:ascii="Arial Narrow" w:eastAsia="Arial Narrow" w:hAnsi="Arial Narrow" w:cs="Arial Narrow"/>
          <w:sz w:val="16"/>
          <w:szCs w:val="16"/>
        </w:rPr>
        <w:t xml:space="preserve"> </w:t>
      </w:r>
      <w:r w:rsidRPr="001910AD">
        <w:rPr>
          <w:rFonts w:ascii="Arial Narrow" w:eastAsia="Arial Narrow" w:hAnsi="Arial Narrow" w:cs="Arial Narrow"/>
          <w:sz w:val="16"/>
          <w:szCs w:val="16"/>
        </w:rPr>
        <w:t>nomas</w:t>
      </w:r>
      <w:r w:rsidRPr="001910AD">
        <w:rPr>
          <w:rFonts w:ascii="Arial Narrow" w:eastAsia="Arial Narrow" w:hAnsi="Arial Narrow" w:cs="Arial Narrow"/>
          <w:sz w:val="16"/>
          <w:szCs w:val="16"/>
        </w:rPr>
        <w:t xml:space="preserve"> </w:t>
      </w:r>
      <w:r w:rsidRPr="001910AD">
        <w:rPr>
          <w:rFonts w:ascii="Arial Narrow" w:eastAsia="Arial Narrow" w:hAnsi="Arial Narrow" w:cs="Arial Narrow"/>
          <w:sz w:val="16"/>
          <w:szCs w:val="16"/>
        </w:rPr>
        <w:t>līgumam</w:t>
      </w:r>
      <w:r w:rsidRPr="001910AD">
        <w:rPr>
          <w:rFonts w:ascii="Arial Narrow" w:eastAsia="Arial Narrow" w:hAnsi="Arial Narrow" w:cs="Arial Narrow"/>
          <w:sz w:val="16"/>
          <w:szCs w:val="16"/>
        </w:rPr>
        <w:t>, klientam paveras trīs iespējas: atgriezt automašīnu Koncernam, vienoties par turpmāku transportlīdzekļu nomu vai izpirkt to. Gadījumos, kad klients pārkāpj līguma nosacījumus un nevēlas ne atgriezt automašīnu, ne izpir</w:t>
      </w:r>
      <w:r w:rsidRPr="001910AD">
        <w:rPr>
          <w:rFonts w:ascii="Arial Narrow" w:eastAsia="Arial Narrow" w:hAnsi="Arial Narrow" w:cs="Arial Narrow"/>
          <w:sz w:val="16"/>
          <w:szCs w:val="16"/>
        </w:rPr>
        <w:t>kt to, Koncerns sāk atgūšanas procesu. Koncernā ir izveidota prasmīgu darbinieku komanda, kas nodarbojas ar aktīvu atgūšanu, ievērojot stingri noteiktus procesus. Turklāt brīdī, kad automašīna tiek nodota nomā, Koncerns tajā uzstāda GPS izsekošanas ierīces</w:t>
      </w:r>
      <w:r w:rsidRPr="001910AD">
        <w:rPr>
          <w:rFonts w:ascii="Arial Narrow" w:eastAsia="Arial Narrow" w:hAnsi="Arial Narrow" w:cs="Arial Narrow"/>
          <w:sz w:val="16"/>
          <w:szCs w:val="16"/>
        </w:rPr>
        <w:t>, kas ievērojami atvieglo automašīnu atgūšanu. Ja nomas līguma agrīnā stadijā tiek nojausts, ka tiek veiktas krāpnieciskas darbības, aktīva atgūšanas process var tikt uzsākts pirms līguma termiņa beigām. Kaut arī termiņa beigas ir sasnieguši tikai daži līg</w:t>
      </w:r>
      <w:r w:rsidRPr="001910AD">
        <w:rPr>
          <w:rFonts w:ascii="Arial Narrow" w:eastAsia="Arial Narrow" w:hAnsi="Arial Narrow" w:cs="Arial Narrow"/>
          <w:sz w:val="16"/>
          <w:szCs w:val="16"/>
        </w:rPr>
        <w:t xml:space="preserve">umi, balstoties uz pieejamajiem datiem, Koncerna aktīvu atgūšanas rādītājs ir augsts. </w:t>
      </w:r>
    </w:p>
    <w:p w:rsidR="001910AD" w:rsidP="001910AD" w14:paraId="1682233B" w14:textId="77777777">
      <w:pPr>
        <w:spacing w:after="0" w:line="360" w:lineRule="auto"/>
        <w:jc w:val="both"/>
        <w:rPr>
          <w:rFonts w:ascii="Arial Narrow" w:eastAsia="Arial Narrow" w:hAnsi="Arial Narrow" w:cs="Arial Narrow"/>
          <w:sz w:val="16"/>
          <w:szCs w:val="16"/>
        </w:rPr>
      </w:pPr>
    </w:p>
    <w:p w:rsidR="00277940" w:rsidRPr="001910AD" w:rsidP="001910AD" w14:paraId="5D871513" w14:textId="1F6F93B4">
      <w:pPr>
        <w:spacing w:after="0" w:line="360" w:lineRule="auto"/>
        <w:jc w:val="both"/>
        <w:rPr>
          <w:rFonts w:ascii="Arial Narrow" w:eastAsia="Arial Narrow" w:hAnsi="Arial Narrow" w:cs="Arial Narrow"/>
          <w:sz w:val="16"/>
          <w:szCs w:val="16"/>
        </w:rPr>
      </w:pPr>
      <w:r w:rsidRPr="001910AD">
        <w:rPr>
          <w:rFonts w:ascii="Arial Narrow" w:eastAsia="Arial Narrow" w:hAnsi="Arial Narrow" w:cs="Arial Narrow"/>
          <w:sz w:val="16"/>
          <w:szCs w:val="16"/>
        </w:rPr>
        <w:t>Koncernam</w:t>
      </w:r>
      <w:r w:rsidRPr="001910AD">
        <w:rPr>
          <w:rFonts w:ascii="Arial Narrow" w:eastAsia="Arial Narrow" w:hAnsi="Arial Narrow" w:cs="Arial Narrow"/>
          <w:sz w:val="16"/>
          <w:szCs w:val="16"/>
        </w:rPr>
        <w:t xml:space="preserve"> nav </w:t>
      </w:r>
      <w:r w:rsidRPr="001910AD">
        <w:rPr>
          <w:rFonts w:ascii="Arial Narrow" w:eastAsia="Arial Narrow" w:hAnsi="Arial Narrow" w:cs="Arial Narrow"/>
          <w:sz w:val="16"/>
          <w:szCs w:val="16"/>
        </w:rPr>
        <w:t>nozīmīgu</w:t>
      </w:r>
      <w:r w:rsidRPr="001910AD">
        <w:rPr>
          <w:rFonts w:ascii="Arial Narrow" w:eastAsia="Arial Narrow" w:hAnsi="Arial Narrow" w:cs="Arial Narrow"/>
          <w:sz w:val="16"/>
          <w:szCs w:val="16"/>
        </w:rPr>
        <w:t xml:space="preserve"> </w:t>
      </w:r>
      <w:r w:rsidRPr="001910AD">
        <w:rPr>
          <w:rFonts w:ascii="Arial Narrow" w:eastAsia="Arial Narrow" w:hAnsi="Arial Narrow" w:cs="Arial Narrow"/>
          <w:sz w:val="16"/>
          <w:szCs w:val="16"/>
        </w:rPr>
        <w:t>kredītriska</w:t>
      </w:r>
      <w:r w:rsidRPr="001910AD">
        <w:rPr>
          <w:rFonts w:ascii="Arial Narrow" w:eastAsia="Arial Narrow" w:hAnsi="Arial Narrow" w:cs="Arial Narrow"/>
          <w:sz w:val="16"/>
          <w:szCs w:val="16"/>
        </w:rPr>
        <w:t xml:space="preserve"> koncentrāciju attiecībā uz kādu vienu darījumu partneri vai līdzīgam raksturojumam atbilstošu darījumu partneru grupu.</w:t>
      </w:r>
    </w:p>
    <w:p w:rsidR="001910AD" w:rsidP="001910AD" w14:paraId="00EC667C" w14:textId="77777777">
      <w:pPr>
        <w:spacing w:after="0" w:line="360" w:lineRule="auto"/>
        <w:jc w:val="both"/>
        <w:rPr>
          <w:rFonts w:ascii="Arial Narrow" w:eastAsia="Arial Narrow" w:hAnsi="Arial Narrow" w:cs="Arial Narrow"/>
          <w:i/>
          <w:iCs/>
          <w:sz w:val="16"/>
          <w:szCs w:val="16"/>
        </w:rPr>
      </w:pPr>
    </w:p>
    <w:p w:rsidR="00277940" w:rsidP="001910AD" w14:paraId="22406F64" w14:textId="0824413F">
      <w:pPr>
        <w:spacing w:after="0" w:line="360" w:lineRule="auto"/>
        <w:jc w:val="both"/>
        <w:rPr>
          <w:rFonts w:ascii="Arial Narrow" w:eastAsia="Arial Narrow" w:hAnsi="Arial Narrow" w:cs="Arial Narrow"/>
          <w:i/>
          <w:iCs/>
          <w:sz w:val="16"/>
          <w:szCs w:val="16"/>
        </w:rPr>
      </w:pPr>
      <w:r w:rsidRPr="001910AD">
        <w:rPr>
          <w:rFonts w:ascii="Arial Narrow" w:eastAsia="Arial Narrow" w:hAnsi="Arial Narrow" w:cs="Arial Narrow"/>
          <w:i/>
          <w:iCs/>
          <w:sz w:val="16"/>
          <w:szCs w:val="16"/>
        </w:rPr>
        <w:t>Pārsnieguma</w:t>
      </w:r>
      <w:r w:rsidRPr="001910AD">
        <w:rPr>
          <w:rFonts w:ascii="Arial Narrow" w:eastAsia="Arial Narrow" w:hAnsi="Arial Narrow" w:cs="Arial Narrow"/>
          <w:i/>
          <w:iCs/>
          <w:sz w:val="16"/>
          <w:szCs w:val="16"/>
        </w:rPr>
        <w:t xml:space="preserve"> </w:t>
      </w:r>
      <w:r w:rsidRPr="001910AD">
        <w:rPr>
          <w:rFonts w:ascii="Arial Narrow" w:eastAsia="Arial Narrow" w:hAnsi="Arial Narrow" w:cs="Arial Narrow"/>
          <w:i/>
          <w:iCs/>
          <w:sz w:val="16"/>
          <w:szCs w:val="16"/>
        </w:rPr>
        <w:t>ris</w:t>
      </w:r>
      <w:r w:rsidRPr="001910AD">
        <w:rPr>
          <w:rFonts w:ascii="Arial Narrow" w:eastAsia="Arial Narrow" w:hAnsi="Arial Narrow" w:cs="Arial Narrow"/>
          <w:i/>
          <w:iCs/>
          <w:sz w:val="16"/>
          <w:szCs w:val="16"/>
        </w:rPr>
        <w:t>ka</w:t>
      </w:r>
      <w:r w:rsidRPr="001910AD">
        <w:rPr>
          <w:rFonts w:ascii="Arial Narrow" w:eastAsia="Arial Narrow" w:hAnsi="Arial Narrow" w:cs="Arial Narrow"/>
          <w:i/>
          <w:iCs/>
          <w:sz w:val="16"/>
          <w:szCs w:val="16"/>
        </w:rPr>
        <w:t xml:space="preserve"> </w:t>
      </w:r>
      <w:r w:rsidRPr="001910AD">
        <w:rPr>
          <w:rFonts w:ascii="Arial Narrow" w:eastAsia="Arial Narrow" w:hAnsi="Arial Narrow" w:cs="Arial Narrow"/>
          <w:i/>
          <w:iCs/>
          <w:sz w:val="16"/>
          <w:szCs w:val="16"/>
        </w:rPr>
        <w:t>koncentrācija</w:t>
      </w:r>
    </w:p>
    <w:p w:rsidR="001910AD" w:rsidRPr="001910AD" w:rsidP="001910AD" w14:paraId="71E7C914" w14:textId="77777777">
      <w:pPr>
        <w:spacing w:after="0" w:line="360" w:lineRule="auto"/>
        <w:jc w:val="both"/>
        <w:rPr>
          <w:rFonts w:ascii="Arial Narrow" w:eastAsia="Arial Narrow" w:hAnsi="Arial Narrow" w:cs="Arial Narrow"/>
          <w:i/>
          <w:iCs/>
          <w:sz w:val="16"/>
          <w:szCs w:val="16"/>
        </w:rPr>
      </w:pPr>
    </w:p>
    <w:p w:rsidR="00277940" w:rsidRPr="001910AD" w:rsidP="001910AD" w14:paraId="7174E921" w14:textId="4310DE48">
      <w:pPr>
        <w:spacing w:after="0" w:line="360" w:lineRule="auto"/>
        <w:jc w:val="both"/>
        <w:rPr>
          <w:rFonts w:ascii="Arial Narrow" w:eastAsia="Arial Narrow" w:hAnsi="Arial Narrow" w:cs="Arial Narrow"/>
          <w:sz w:val="16"/>
          <w:szCs w:val="16"/>
        </w:rPr>
      </w:pPr>
      <w:r w:rsidRPr="001910AD">
        <w:rPr>
          <w:rFonts w:ascii="Arial Narrow" w:eastAsia="Arial Narrow" w:hAnsi="Arial Narrow" w:cs="Arial Narrow"/>
          <w:sz w:val="16"/>
          <w:szCs w:val="16"/>
        </w:rPr>
        <w:t>Koncentrācija veidojas tad, kad vairākas darījuma puses nodarbojas ar līdzīgu saimniecisko darbību vai veic darbību tajā pašā ģeogrāfiskajā reģionā, vai tām piemīt līdzīgas ekonomiskas iezīmes, kā ietekmē to spēju izpildīt līgumsaistības v</w:t>
      </w:r>
      <w:r w:rsidRPr="001910AD">
        <w:rPr>
          <w:rFonts w:ascii="Arial Narrow" w:eastAsia="Arial Narrow" w:hAnsi="Arial Narrow" w:cs="Arial Narrow"/>
          <w:sz w:val="16"/>
          <w:szCs w:val="16"/>
        </w:rPr>
        <w:t>ar līdzīgi ietekmēt izmaiņas ekonomiskos, politiskos vai citos apstākļos. Koncentrācija liecina par relatīvo Koncerna darbības rezultātu jutību pret notikumiem, kas ietekmē konkrētu nozari vai ģeogrāfisko vietu.</w:t>
      </w:r>
    </w:p>
    <w:p w:rsidR="00277940" w:rsidRPr="001910AD" w:rsidP="001910AD" w14:paraId="1AC48ECC" w14:textId="3510D6F0">
      <w:pPr>
        <w:spacing w:after="0" w:line="360" w:lineRule="auto"/>
        <w:jc w:val="both"/>
        <w:rPr>
          <w:rFonts w:ascii="Arial Narrow" w:eastAsia="Arial Narrow" w:hAnsi="Arial Narrow" w:cs="Arial Narrow"/>
          <w:sz w:val="16"/>
          <w:szCs w:val="16"/>
        </w:rPr>
      </w:pPr>
      <w:r w:rsidRPr="001910AD">
        <w:rPr>
          <w:rFonts w:ascii="Arial Narrow" w:eastAsia="Arial Narrow" w:hAnsi="Arial Narrow" w:cs="Arial Narrow"/>
          <w:sz w:val="16"/>
          <w:szCs w:val="16"/>
        </w:rPr>
        <w:t>Lai izvairītos no pārāk lielas riska koncent</w:t>
      </w:r>
      <w:r w:rsidRPr="001910AD">
        <w:rPr>
          <w:rFonts w:ascii="Arial Narrow" w:eastAsia="Arial Narrow" w:hAnsi="Arial Narrow" w:cs="Arial Narrow"/>
          <w:sz w:val="16"/>
          <w:szCs w:val="16"/>
        </w:rPr>
        <w:t>rācijas, Koncerns uztur diversificētu portfeli. Galvenais Koncerna produkts ir paaugstināta riska (angl.: subprime) noma, tomēr tiek piedāvāta arī vidēja riska (angl.: near prime) noma, patēriņa kredīti un ilgtermiņa nomas produkti.</w:t>
      </w:r>
    </w:p>
    <w:p w:rsidR="001910AD" w:rsidP="001910AD" w14:paraId="53FDDEE4" w14:textId="77777777">
      <w:pPr>
        <w:spacing w:after="0" w:line="360" w:lineRule="auto"/>
        <w:jc w:val="both"/>
        <w:rPr>
          <w:rFonts w:ascii="Arial Narrow" w:eastAsia="Arial Narrow" w:hAnsi="Arial Narrow" w:cs="Arial Narrow"/>
          <w:i/>
          <w:iCs/>
          <w:sz w:val="16"/>
          <w:szCs w:val="16"/>
        </w:rPr>
      </w:pPr>
    </w:p>
    <w:p w:rsidR="00277940" w:rsidP="001910AD" w14:paraId="01A6EE9F" w14:textId="4D5CBD53">
      <w:pPr>
        <w:spacing w:after="0" w:line="360" w:lineRule="auto"/>
        <w:jc w:val="both"/>
        <w:rPr>
          <w:rFonts w:ascii="Arial Narrow" w:eastAsia="Arial Narrow" w:hAnsi="Arial Narrow" w:cs="Arial Narrow"/>
          <w:i/>
          <w:iCs/>
          <w:sz w:val="16"/>
          <w:szCs w:val="16"/>
        </w:rPr>
      </w:pPr>
      <w:r w:rsidRPr="001910AD">
        <w:rPr>
          <w:rFonts w:ascii="Arial Narrow" w:eastAsia="Arial Narrow" w:hAnsi="Arial Narrow" w:cs="Arial Narrow"/>
          <w:i/>
          <w:iCs/>
          <w:sz w:val="16"/>
          <w:szCs w:val="16"/>
        </w:rPr>
        <w:t>Kapitāla</w:t>
      </w:r>
      <w:r w:rsidRPr="001910AD">
        <w:rPr>
          <w:rFonts w:ascii="Arial Narrow" w:eastAsia="Arial Narrow" w:hAnsi="Arial Narrow" w:cs="Arial Narrow"/>
          <w:i/>
          <w:iCs/>
          <w:sz w:val="16"/>
          <w:szCs w:val="16"/>
        </w:rPr>
        <w:t xml:space="preserve"> </w:t>
      </w:r>
      <w:r w:rsidRPr="001910AD">
        <w:rPr>
          <w:rFonts w:ascii="Arial Narrow" w:eastAsia="Arial Narrow" w:hAnsi="Arial Narrow" w:cs="Arial Narrow"/>
          <w:i/>
          <w:iCs/>
          <w:sz w:val="16"/>
          <w:szCs w:val="16"/>
        </w:rPr>
        <w:t>riska</w:t>
      </w:r>
      <w:r w:rsidRPr="001910AD">
        <w:rPr>
          <w:rFonts w:ascii="Arial Narrow" w:eastAsia="Arial Narrow" w:hAnsi="Arial Narrow" w:cs="Arial Narrow"/>
          <w:i/>
          <w:iCs/>
          <w:sz w:val="16"/>
          <w:szCs w:val="16"/>
        </w:rPr>
        <w:t xml:space="preserve"> </w:t>
      </w:r>
      <w:r w:rsidRPr="001910AD">
        <w:rPr>
          <w:rFonts w:ascii="Arial Narrow" w:eastAsia="Arial Narrow" w:hAnsi="Arial Narrow" w:cs="Arial Narrow"/>
          <w:i/>
          <w:iCs/>
          <w:sz w:val="16"/>
          <w:szCs w:val="16"/>
        </w:rPr>
        <w:t>vadība</w:t>
      </w:r>
    </w:p>
    <w:p w:rsidR="001910AD" w:rsidRPr="001910AD" w:rsidP="001910AD" w14:paraId="79D7F396" w14:textId="77777777">
      <w:pPr>
        <w:spacing w:after="0" w:line="360" w:lineRule="auto"/>
        <w:jc w:val="both"/>
        <w:rPr>
          <w:rFonts w:ascii="Arial Narrow" w:eastAsia="Arial Narrow" w:hAnsi="Arial Narrow" w:cs="Arial Narrow"/>
          <w:i/>
          <w:iCs/>
          <w:sz w:val="16"/>
          <w:szCs w:val="16"/>
        </w:rPr>
      </w:pPr>
    </w:p>
    <w:p w:rsidR="00714703" w:rsidRPr="001910AD" w:rsidP="001910AD" w14:textId="6F9A459B">
      <w:pPr>
        <w:spacing w:after="0" w:line="360" w:lineRule="auto"/>
        <w:jc w:val="both"/>
        <w:rPr>
          <w:rFonts w:ascii="Arial Narrow" w:eastAsia="Arial Narrow" w:hAnsi="Arial Narrow" w:cs="Arial Narrow"/>
          <w:sz w:val="16"/>
          <w:szCs w:val="16"/>
        </w:rPr>
      </w:pPr>
      <w:r w:rsidRPr="001910AD">
        <w:rPr>
          <w:rFonts w:ascii="Arial Narrow" w:eastAsia="Arial Narrow" w:hAnsi="Arial Narrow" w:cs="Arial Narrow"/>
          <w:sz w:val="16"/>
          <w:szCs w:val="16"/>
        </w:rPr>
        <w:t>K</w:t>
      </w:r>
      <w:r w:rsidRPr="001910AD">
        <w:rPr>
          <w:rFonts w:ascii="Arial Narrow" w:eastAsia="Arial Narrow" w:hAnsi="Arial Narrow" w:cs="Arial Narrow"/>
          <w:sz w:val="16"/>
          <w:szCs w:val="16"/>
        </w:rPr>
        <w:t>apitāla pārvaldību Koncerns īsteno ar mērķi nodrošināt, ka tas ir spējīgs turpināt savu darbību. Koncerns pilda ārējas kapitāla prasības. Kapitāla struktūras uzturēšanai vai korekcijām Koncernam var piesaistīt jaunus kredītlīdzekļus vai palielināt pamatkap</w:t>
      </w:r>
      <w:r w:rsidRPr="001910AD">
        <w:rPr>
          <w:rFonts w:ascii="Arial Narrow" w:eastAsia="Arial Narrow" w:hAnsi="Arial Narrow" w:cs="Arial Narrow"/>
          <w:sz w:val="16"/>
          <w:szCs w:val="16"/>
        </w:rPr>
        <w:t>itālu.</w:t>
      </w:r>
    </w:p>
    <w:p/>
    <w:p w:rsidR="00E7105E" w:rsidRPr="00876197" w:rsidP="00B42D0E" w14:paraId="64AC1D9C" w14:textId="212A5CEB">
      <w:pPr>
        <w:spacing w:after="0" w:line="360" w:lineRule="auto"/>
        <w:jc w:val="both"/>
        <w:rPr>
          <w:rFonts w:ascii="Arial Narrow" w:eastAsia="Arial Narrow" w:hAnsi="Arial Narrow" w:cs="Arial Narrow"/>
          <w:b/>
          <w:bCs/>
          <w:sz w:val="16"/>
          <w:szCs w:val="16"/>
          <w:lang w:val="lv-LV"/>
        </w:rPr>
      </w:pPr>
      <w:bookmarkStart w:id="1235" w:name="RG_MARKER_6672"/>
      <w:bookmarkStart w:id="1236" w:name="RG_MARKER_6458"/>
      <w:r w:rsidRPr="00876197">
        <w:rPr>
          <w:rFonts w:ascii="Arial Narrow" w:eastAsia="Arial Narrow" w:hAnsi="Arial Narrow" w:cs="Arial Narrow"/>
          <w:b/>
          <w:bCs/>
          <w:sz w:val="16"/>
          <w:szCs w:val="16"/>
          <w:lang w:val="lv-LV"/>
        </w:rPr>
        <w:t>41</w:t>
      </w:r>
      <w:r w:rsidRPr="00876197">
        <w:rPr>
          <w:rFonts w:ascii="Arial Narrow" w:eastAsia="Arial Narrow" w:hAnsi="Arial Narrow" w:cs="Arial Narrow"/>
          <w:b/>
          <w:bCs/>
          <w:sz w:val="16"/>
          <w:szCs w:val="16"/>
          <w:lang w:val="lv-LV"/>
        </w:rPr>
        <w:t>. Finanšu aktīvu un finanšu saistību patiesā vērtība</w:t>
      </w:r>
      <w:bookmarkEnd w:id="1236"/>
      <w:bookmarkEnd w:id="1235"/>
    </w:p>
    <w:p w:rsidR="00B42D0E" w:rsidRPr="00876197" w:rsidP="00B42D0E" w14:paraId="3A62C2DC" w14:textId="77777777">
      <w:pPr>
        <w:spacing w:after="0" w:line="360" w:lineRule="auto"/>
        <w:jc w:val="both"/>
        <w:rPr>
          <w:rFonts w:ascii="Arial Narrow" w:eastAsia="Arial Narrow" w:hAnsi="Arial Narrow" w:cs="Arial Narrow"/>
          <w:sz w:val="16"/>
          <w:szCs w:val="16"/>
          <w:lang w:val="lv-LV"/>
        </w:rPr>
      </w:pPr>
    </w:p>
    <w:p w:rsidR="00E7105E" w:rsidRPr="00876197" w:rsidP="00B42D0E" w14:paraId="39F8E215" w14:textId="230CBAB0">
      <w:pPr>
        <w:spacing w:after="0" w:line="360" w:lineRule="auto"/>
        <w:jc w:val="both"/>
        <w:rPr>
          <w:rFonts w:ascii="Arial Narrow" w:eastAsia="Arial Narrow" w:hAnsi="Arial Narrow" w:cs="Arial Narrow"/>
          <w:sz w:val="16"/>
          <w:szCs w:val="16"/>
          <w:lang w:val="lv-LV"/>
        </w:rPr>
      </w:pPr>
      <w:r w:rsidRPr="00876197">
        <w:rPr>
          <w:rFonts w:ascii="Arial Narrow" w:eastAsia="Arial Narrow" w:hAnsi="Arial Narrow" w:cs="Arial Narrow"/>
          <w:sz w:val="16"/>
          <w:szCs w:val="16"/>
          <w:lang w:val="lv-LV"/>
        </w:rPr>
        <w:t>Patiesā vērtībā ir cena, par kuru varētu pārdot aktīvu vai nodot saistības parasta darījuma ietvaros, kas notiktu starp tirgus dalībniekiem vērtēšanas datumā. Patiesās vērtības novērtējums ir balstīts uz pieņēmumu, ka aktīva pārdošanas vai saistību nodošan</w:t>
      </w:r>
      <w:r w:rsidRPr="00876197">
        <w:rPr>
          <w:rFonts w:ascii="Arial Narrow" w:eastAsia="Arial Narrow" w:hAnsi="Arial Narrow" w:cs="Arial Narrow"/>
          <w:sz w:val="16"/>
          <w:szCs w:val="16"/>
          <w:lang w:val="lv-LV"/>
        </w:rPr>
        <w:t>as darījumu tiek veikts vai nu:</w:t>
      </w:r>
    </w:p>
    <w:p w:rsidR="00E7105E" w:rsidRPr="00876197" w:rsidP="00B42D0E" w14:paraId="1C061580" w14:textId="77777777">
      <w:pPr>
        <w:spacing w:after="0" w:line="360" w:lineRule="auto"/>
        <w:jc w:val="both"/>
        <w:rPr>
          <w:rFonts w:ascii="Arial Narrow" w:eastAsia="Arial Narrow" w:hAnsi="Arial Narrow" w:cs="Arial Narrow"/>
          <w:sz w:val="16"/>
          <w:szCs w:val="16"/>
          <w:lang w:val="lv-LV"/>
        </w:rPr>
      </w:pPr>
      <w:r w:rsidRPr="00876197">
        <w:rPr>
          <w:rFonts w:ascii="Arial Narrow" w:eastAsia="Arial Narrow" w:hAnsi="Arial Narrow" w:cs="Arial Narrow"/>
          <w:sz w:val="16"/>
          <w:szCs w:val="16"/>
          <w:lang w:val="lv-LV"/>
        </w:rPr>
        <w:t>- aktīva vai saistību pamata tirgū, vai</w:t>
      </w:r>
    </w:p>
    <w:p w:rsidR="00E7105E" w:rsidRPr="00876197" w:rsidP="00B42D0E" w14:paraId="3073891F" w14:textId="77777777">
      <w:pPr>
        <w:spacing w:after="0" w:line="360" w:lineRule="auto"/>
        <w:jc w:val="both"/>
        <w:rPr>
          <w:rFonts w:ascii="Arial Narrow" w:eastAsia="Arial Narrow" w:hAnsi="Arial Narrow" w:cs="Arial Narrow"/>
          <w:sz w:val="16"/>
          <w:szCs w:val="16"/>
          <w:lang w:val="lv-LV"/>
        </w:rPr>
      </w:pPr>
      <w:r w:rsidRPr="00876197">
        <w:rPr>
          <w:rFonts w:ascii="Arial Narrow" w:eastAsia="Arial Narrow" w:hAnsi="Arial Narrow" w:cs="Arial Narrow"/>
          <w:sz w:val="16"/>
          <w:szCs w:val="16"/>
          <w:lang w:val="lv-LV"/>
        </w:rPr>
        <w:t>- neesot pamata tirgum, visizdevīgākajā tirgū konkrētajam aktīvam vai saistībām.</w:t>
      </w:r>
    </w:p>
    <w:p w:rsidR="00E7105E" w:rsidRPr="00876197" w:rsidP="00B42D0E" w14:paraId="720D7F53" w14:textId="0544A568">
      <w:pPr>
        <w:spacing w:after="0" w:line="360" w:lineRule="auto"/>
        <w:jc w:val="both"/>
        <w:rPr>
          <w:rFonts w:ascii="Arial Narrow" w:eastAsia="Arial Narrow" w:hAnsi="Arial Narrow" w:cs="Arial Narrow"/>
          <w:sz w:val="16"/>
          <w:szCs w:val="16"/>
          <w:lang w:val="lv-LV"/>
        </w:rPr>
      </w:pPr>
      <w:r w:rsidRPr="00876197">
        <w:rPr>
          <w:rFonts w:ascii="Arial Narrow" w:eastAsia="Arial Narrow" w:hAnsi="Arial Narrow" w:cs="Arial Narrow"/>
          <w:sz w:val="16"/>
          <w:szCs w:val="16"/>
          <w:lang w:val="lv-LV"/>
        </w:rPr>
        <w:t>Pamat</w:t>
      </w:r>
      <w:r>
        <w:rPr>
          <w:rFonts w:ascii="Arial Narrow" w:eastAsia="Arial Narrow" w:hAnsi="Arial Narrow" w:cs="Arial Narrow"/>
          <w:sz w:val="16"/>
          <w:szCs w:val="16"/>
          <w:lang w:val="lv-LV"/>
        </w:rPr>
        <w:t>a</w:t>
      </w:r>
      <w:r w:rsidRPr="00876197">
        <w:rPr>
          <w:rFonts w:ascii="Arial Narrow" w:eastAsia="Arial Narrow" w:hAnsi="Arial Narrow" w:cs="Arial Narrow"/>
          <w:sz w:val="16"/>
          <w:szCs w:val="16"/>
          <w:lang w:val="lv-LV"/>
        </w:rPr>
        <w:t xml:space="preserve"> vai visizdevīgākajām tirgum ir jābūt pieejamam Koncernam.</w:t>
      </w:r>
    </w:p>
    <w:p w:rsidR="00B42D0E" w:rsidRPr="00876197" w:rsidP="00B42D0E" w14:paraId="47963E22" w14:textId="77777777">
      <w:pPr>
        <w:spacing w:after="0" w:line="360" w:lineRule="auto"/>
        <w:jc w:val="both"/>
        <w:rPr>
          <w:rFonts w:ascii="Arial Narrow" w:eastAsia="Arial Narrow" w:hAnsi="Arial Narrow" w:cs="Arial Narrow"/>
          <w:sz w:val="16"/>
          <w:szCs w:val="16"/>
          <w:lang w:val="lv-LV"/>
        </w:rPr>
      </w:pPr>
    </w:p>
    <w:p w:rsidR="00B42D0E" w:rsidRPr="00876197" w:rsidP="00B42D0E" w14:paraId="7A9B5FFE" w14:textId="77777777">
      <w:pPr>
        <w:spacing w:after="0" w:line="360" w:lineRule="auto"/>
        <w:jc w:val="both"/>
        <w:rPr>
          <w:rFonts w:ascii="Arial Narrow" w:eastAsia="Arial Narrow" w:hAnsi="Arial Narrow" w:cs="Arial Narrow"/>
          <w:sz w:val="16"/>
          <w:szCs w:val="16"/>
          <w:lang w:val="lv-LV"/>
        </w:rPr>
      </w:pPr>
      <w:r w:rsidRPr="00876197">
        <w:rPr>
          <w:rFonts w:ascii="Arial Narrow" w:eastAsia="Arial Narrow" w:hAnsi="Arial Narrow" w:cs="Arial Narrow"/>
          <w:sz w:val="16"/>
          <w:szCs w:val="16"/>
          <w:lang w:val="lv-LV"/>
        </w:rPr>
        <w:t>Aktīva vai saistību patiesā vērtība t</w:t>
      </w:r>
      <w:r w:rsidRPr="00876197">
        <w:rPr>
          <w:rFonts w:ascii="Arial Narrow" w:eastAsia="Arial Narrow" w:hAnsi="Arial Narrow" w:cs="Arial Narrow"/>
          <w:sz w:val="16"/>
          <w:szCs w:val="16"/>
          <w:lang w:val="lv-LV"/>
        </w:rPr>
        <w:t>iek novērtēta, izmantojot pieņēmumus, kurus izmantotu tirgus dalībnieki, novērtējot aktīvu vai saistībus, pieņemot, ka tirgus dalībnieki darbojas to ekonomiskās interesēs. Nefinanšu aktīvu patiesā vērtības aprēķinā tiek ņemta vērā tirgus dalībnieka spēja g</w:t>
      </w:r>
      <w:r w:rsidRPr="00876197">
        <w:rPr>
          <w:rFonts w:ascii="Arial Narrow" w:eastAsia="Arial Narrow" w:hAnsi="Arial Narrow" w:cs="Arial Narrow"/>
          <w:sz w:val="16"/>
          <w:szCs w:val="16"/>
          <w:lang w:val="lv-LV"/>
        </w:rPr>
        <w:t>ūt ekonomiskus labumus, izmantojot aktīvu tā visaugstākā un vislabākā lietošanā, vai nododot to citam tirgus dalībniekam, kas izmanto aktīvu visaugstākā un vislabākā lietošanā. Sabiedrība izmanto apstākļos piemērotus vērtēšanas paņēmienus, par kuriem ir pi</w:t>
      </w:r>
      <w:r w:rsidRPr="00876197">
        <w:rPr>
          <w:rFonts w:ascii="Arial Narrow" w:eastAsia="Arial Narrow" w:hAnsi="Arial Narrow" w:cs="Arial Narrow"/>
          <w:sz w:val="16"/>
          <w:szCs w:val="16"/>
          <w:lang w:val="lv-LV"/>
        </w:rPr>
        <w:t xml:space="preserve">eejami pietiekami dati, lai noteiktu patieso vērtību, maksimāli izmantotu būtiskas novērojamas izejvielas un samazinātu neizmantojamo materiālu izmantošanu. </w:t>
      </w:r>
    </w:p>
    <w:p w:rsidR="00E7105E" w:rsidRPr="00876197" w:rsidP="00B42D0E" w14:paraId="5402D4C8" w14:textId="69DA6681">
      <w:pPr>
        <w:spacing w:after="0" w:line="360" w:lineRule="auto"/>
        <w:jc w:val="both"/>
        <w:rPr>
          <w:rFonts w:ascii="Arial Narrow" w:eastAsia="Arial Narrow" w:hAnsi="Arial Narrow" w:cs="Arial Narrow"/>
          <w:sz w:val="16"/>
          <w:szCs w:val="16"/>
          <w:lang w:val="lv-LV"/>
        </w:rPr>
      </w:pPr>
      <w:r w:rsidRPr="00876197">
        <w:rPr>
          <w:rFonts w:ascii="Arial Narrow" w:eastAsia="Arial Narrow" w:hAnsi="Arial Narrow" w:cs="Arial Narrow"/>
          <w:sz w:val="16"/>
          <w:szCs w:val="16"/>
          <w:lang w:val="lv-LV"/>
        </w:rPr>
        <w:t>Visi aktīvi un saistības, par kurām patiesā vērtība tiek novērtēta vai atspoguļota finanšu pārskat</w:t>
      </w:r>
      <w:r w:rsidRPr="00876197">
        <w:rPr>
          <w:rFonts w:ascii="Arial Narrow" w:eastAsia="Arial Narrow" w:hAnsi="Arial Narrow" w:cs="Arial Narrow"/>
          <w:sz w:val="16"/>
          <w:szCs w:val="16"/>
          <w:lang w:val="lv-LV"/>
        </w:rPr>
        <w:t>os, tiek klasificēta patiesās vērtības hierarhijā, kas aprakstīta šādi, pamatojoties uz viszemāko ieguldījumu, kas ir būtiska patiesās vērtības noteikšanai kopumā:</w:t>
      </w:r>
    </w:p>
    <w:p w:rsidR="00E7105E" w:rsidRPr="00876197" w:rsidP="00B42D0E" w14:paraId="0BA9EEED" w14:textId="227AE8CD">
      <w:pPr>
        <w:spacing w:after="0" w:line="360" w:lineRule="auto"/>
        <w:jc w:val="both"/>
        <w:rPr>
          <w:rFonts w:ascii="Arial Narrow" w:eastAsia="Arial Narrow" w:hAnsi="Arial Narrow" w:cs="Arial Narrow"/>
          <w:sz w:val="16"/>
          <w:szCs w:val="16"/>
          <w:lang w:val="lv-LV"/>
        </w:rPr>
      </w:pPr>
      <w:r w:rsidRPr="00876197">
        <w:rPr>
          <w:rFonts w:ascii="Arial Narrow" w:eastAsia="Arial Narrow" w:hAnsi="Arial Narrow" w:cs="Arial Narrow"/>
          <w:sz w:val="16"/>
          <w:szCs w:val="16"/>
          <w:lang w:val="lv-LV"/>
        </w:rPr>
        <w:t>- 1. kategorija: publiskotās cenu kotācijas aktīvā tirgū;</w:t>
      </w:r>
    </w:p>
    <w:p w:rsidR="00E7105E" w:rsidRPr="00876197" w:rsidP="00B42D0E" w14:paraId="113FADA7" w14:textId="77777777">
      <w:pPr>
        <w:spacing w:after="0" w:line="360" w:lineRule="auto"/>
        <w:jc w:val="both"/>
        <w:rPr>
          <w:rFonts w:ascii="Arial Narrow" w:eastAsia="Arial Narrow" w:hAnsi="Arial Narrow" w:cs="Arial Narrow"/>
          <w:sz w:val="16"/>
          <w:szCs w:val="16"/>
          <w:lang w:val="lv-LV"/>
        </w:rPr>
      </w:pPr>
      <w:r w:rsidRPr="00876197">
        <w:rPr>
          <w:rFonts w:ascii="Arial Narrow" w:eastAsia="Arial Narrow" w:hAnsi="Arial Narrow" w:cs="Arial Narrow"/>
          <w:sz w:val="16"/>
          <w:szCs w:val="16"/>
          <w:lang w:val="lv-LV"/>
        </w:rPr>
        <w:t>- 2. kategorija: patiesās vērtības</w:t>
      </w:r>
      <w:r w:rsidRPr="00876197">
        <w:rPr>
          <w:rFonts w:ascii="Arial Narrow" w:eastAsia="Arial Narrow" w:hAnsi="Arial Narrow" w:cs="Arial Narrow"/>
          <w:sz w:val="16"/>
          <w:szCs w:val="16"/>
          <w:lang w:val="lv-LV"/>
        </w:rPr>
        <w:t xml:space="preserve"> noteikšanas modeļi, kuros izmantoti dati, kas būtiski ietekmē patieso vērtību un tiek novēroti tirgū;</w:t>
      </w:r>
    </w:p>
    <w:p w:rsidR="00E7105E" w:rsidRPr="00876197" w:rsidP="00B42D0E" w14:paraId="1EA80015" w14:textId="6041D2D1">
      <w:pPr>
        <w:spacing w:after="0" w:line="360" w:lineRule="auto"/>
        <w:jc w:val="both"/>
        <w:rPr>
          <w:rFonts w:ascii="Arial Narrow" w:eastAsia="Arial Narrow" w:hAnsi="Arial Narrow" w:cs="Arial Narrow"/>
          <w:sz w:val="16"/>
          <w:szCs w:val="16"/>
          <w:lang w:val="lv-LV"/>
        </w:rPr>
      </w:pPr>
      <w:r w:rsidRPr="00876197">
        <w:rPr>
          <w:rFonts w:ascii="Arial Narrow" w:eastAsia="Arial Narrow" w:hAnsi="Arial Narrow" w:cs="Arial Narrow"/>
          <w:sz w:val="16"/>
          <w:szCs w:val="16"/>
          <w:lang w:val="lv-LV"/>
        </w:rPr>
        <w:t>- 3. kategorija: citas patiesās vērtības noteikšanas metodes, kurās tiek izmantoti dati, kas ietekmē patieso vērtību, bet netiek novēroti tirgū</w:t>
      </w:r>
    </w:p>
    <w:p w:rsidR="00B42D0E" w:rsidRPr="00876197" w:rsidP="00B42D0E" w14:paraId="6760ECC7" w14:textId="77777777">
      <w:pPr>
        <w:spacing w:after="0" w:line="360" w:lineRule="auto"/>
        <w:jc w:val="both"/>
        <w:rPr>
          <w:rFonts w:ascii="Arial Narrow" w:eastAsia="Arial Narrow" w:hAnsi="Arial Narrow" w:cs="Arial Narrow"/>
          <w:sz w:val="16"/>
          <w:szCs w:val="16"/>
          <w:lang w:val="lv-LV"/>
        </w:rPr>
      </w:pPr>
    </w:p>
    <w:p w:rsidR="00E7105E" w:rsidRPr="00876197" w:rsidP="00B42D0E" w14:paraId="64862BC1" w14:textId="35BE7A27">
      <w:pPr>
        <w:spacing w:after="0" w:line="360" w:lineRule="auto"/>
        <w:jc w:val="both"/>
        <w:rPr>
          <w:rFonts w:ascii="Arial Narrow" w:eastAsia="Arial Narrow" w:hAnsi="Arial Narrow" w:cs="Arial Narrow"/>
          <w:sz w:val="16"/>
          <w:szCs w:val="16"/>
          <w:lang w:val="lv-LV"/>
        </w:rPr>
      </w:pPr>
      <w:r w:rsidRPr="00876197">
        <w:rPr>
          <w:rFonts w:ascii="Arial Narrow" w:eastAsia="Arial Narrow" w:hAnsi="Arial Narrow" w:cs="Arial Narrow"/>
          <w:sz w:val="16"/>
          <w:szCs w:val="16"/>
          <w:lang w:val="lv-LV"/>
        </w:rPr>
        <w:t>Pirmās k</w:t>
      </w:r>
      <w:r w:rsidRPr="00876197">
        <w:rPr>
          <w:rFonts w:ascii="Arial Narrow" w:eastAsia="Arial Narrow" w:hAnsi="Arial Narrow" w:cs="Arial Narrow"/>
          <w:sz w:val="16"/>
          <w:szCs w:val="16"/>
          <w:lang w:val="lv-LV"/>
        </w:rPr>
        <w:t xml:space="preserve">ategorijas instrumenti ietver augsti likvīdus naudas un naudas ekvivalentu aktīvus un standarta atvasinātus finanšu instrumentus, ko tirgo biržā.  </w:t>
      </w:r>
    </w:p>
    <w:p w:rsidR="00B42D0E" w:rsidRPr="00876197" w:rsidP="00B42D0E" w14:paraId="1F2FF257" w14:textId="77777777">
      <w:pPr>
        <w:spacing w:after="0" w:line="360" w:lineRule="auto"/>
        <w:jc w:val="both"/>
        <w:rPr>
          <w:rFonts w:ascii="Arial Narrow" w:eastAsia="Arial Narrow" w:hAnsi="Arial Narrow" w:cs="Arial Narrow"/>
          <w:sz w:val="16"/>
          <w:szCs w:val="16"/>
          <w:lang w:val="lv-LV"/>
        </w:rPr>
      </w:pPr>
    </w:p>
    <w:p w:rsidR="00E7105E" w:rsidRPr="00876197" w:rsidP="00B42D0E" w14:paraId="6BB229ED" w14:textId="0C687A7E">
      <w:pPr>
        <w:spacing w:after="0" w:line="360" w:lineRule="auto"/>
        <w:jc w:val="both"/>
        <w:rPr>
          <w:rFonts w:ascii="Arial Narrow" w:eastAsia="Arial Narrow" w:hAnsi="Arial Narrow" w:cs="Arial Narrow"/>
          <w:sz w:val="16"/>
          <w:szCs w:val="16"/>
          <w:lang w:val="lv-LV"/>
        </w:rPr>
      </w:pPr>
      <w:r w:rsidRPr="00876197">
        <w:rPr>
          <w:rFonts w:ascii="Arial Narrow" w:eastAsia="Arial Narrow" w:hAnsi="Arial Narrow" w:cs="Arial Narrow"/>
          <w:sz w:val="16"/>
          <w:szCs w:val="16"/>
          <w:lang w:val="lv-LV"/>
        </w:rPr>
        <w:t>Otrās kategorijas instrumentos ietilpst aktīvi, kam neeksistē aktīvs tirgus, piemēram ārpusbiržas (OTC) fin</w:t>
      </w:r>
      <w:r w:rsidRPr="00876197">
        <w:rPr>
          <w:rFonts w:ascii="Arial Narrow" w:eastAsia="Arial Narrow" w:hAnsi="Arial Narrow" w:cs="Arial Narrow"/>
          <w:sz w:val="16"/>
          <w:szCs w:val="16"/>
          <w:lang w:val="lv-LV"/>
        </w:rPr>
        <w:t xml:space="preserve">anšu instrumenti un obligācijas. Obligāciju patiesā vērtība tiek noteikta pēc Frankfurtes biržas / Nasdaq Rīga biržas pieejamās informācijas.  </w:t>
      </w:r>
    </w:p>
    <w:p w:rsidR="00B42D0E" w:rsidRPr="00876197" w:rsidP="00B42D0E" w14:paraId="60A51DDC" w14:textId="77777777">
      <w:pPr>
        <w:spacing w:after="0" w:line="360" w:lineRule="auto"/>
        <w:jc w:val="both"/>
        <w:rPr>
          <w:rFonts w:ascii="Arial Narrow" w:eastAsia="Arial Narrow" w:hAnsi="Arial Narrow" w:cs="Arial Narrow"/>
          <w:sz w:val="16"/>
          <w:szCs w:val="16"/>
          <w:lang w:val="lv-LV"/>
        </w:rPr>
      </w:pPr>
    </w:p>
    <w:p w:rsidR="00E7105E" w:rsidRPr="00876197" w:rsidP="00B42D0E" w14:paraId="5BCB3410" w14:textId="39A095F1">
      <w:pPr>
        <w:spacing w:after="0" w:line="360" w:lineRule="auto"/>
        <w:jc w:val="both"/>
        <w:rPr>
          <w:rFonts w:ascii="Arial Narrow" w:eastAsia="Arial Narrow" w:hAnsi="Arial Narrow" w:cs="Arial Narrow"/>
          <w:sz w:val="16"/>
          <w:szCs w:val="16"/>
          <w:lang w:val="lv-LV"/>
        </w:rPr>
      </w:pPr>
      <w:r w:rsidRPr="00876197">
        <w:rPr>
          <w:rFonts w:ascii="Arial Narrow" w:eastAsia="Arial Narrow" w:hAnsi="Arial Narrow" w:cs="Arial Narrow"/>
          <w:sz w:val="16"/>
          <w:szCs w:val="16"/>
          <w:lang w:val="lv-LV"/>
        </w:rPr>
        <w:t>Trešās kategorijas instrumenti ietver aktīvus, kuriem nav aktīva tirgus - piemēram, kredītus un izsniegtus avan</w:t>
      </w:r>
      <w:r w:rsidRPr="00876197">
        <w:rPr>
          <w:rFonts w:ascii="Arial Narrow" w:eastAsia="Arial Narrow" w:hAnsi="Arial Narrow" w:cs="Arial Narrow"/>
          <w:sz w:val="16"/>
          <w:szCs w:val="16"/>
          <w:lang w:val="lv-LV"/>
        </w:rPr>
        <w:t>sus, obligācijas, prasības pret bankām un citas finanšu saistības.</w:t>
      </w:r>
    </w:p>
    <w:p w:rsidR="00E7105E" w:rsidRPr="00876197" w:rsidP="00B42D0E" w14:paraId="1D99315E" w14:textId="379C91C9">
      <w:pPr>
        <w:spacing w:after="0" w:line="360" w:lineRule="auto"/>
        <w:jc w:val="both"/>
        <w:rPr>
          <w:rFonts w:ascii="Arial Narrow" w:eastAsia="Arial Narrow" w:hAnsi="Arial Narrow" w:cs="Arial Narrow"/>
          <w:sz w:val="16"/>
          <w:szCs w:val="16"/>
          <w:lang w:val="lv-LV"/>
        </w:rPr>
      </w:pPr>
      <w:r w:rsidRPr="00876197">
        <w:rPr>
          <w:rFonts w:ascii="Arial Narrow" w:eastAsia="Arial Narrow" w:hAnsi="Arial Narrow" w:cs="Arial Narrow"/>
          <w:sz w:val="16"/>
          <w:szCs w:val="16"/>
          <w:lang w:val="lv-LV"/>
        </w:rPr>
        <w:t>No finanšu nomas izrietošo prasību un kredītu un izsniegto avansu patieso vērtību nosaka, izmantojot diskontētās naudas plūsmas modeli, kas ietver līgumā paredzētās nomas un aizdevuma nauda</w:t>
      </w:r>
      <w:r w:rsidRPr="00876197">
        <w:rPr>
          <w:rFonts w:ascii="Arial Narrow" w:eastAsia="Arial Narrow" w:hAnsi="Arial Narrow" w:cs="Arial Narrow"/>
          <w:sz w:val="16"/>
          <w:szCs w:val="16"/>
          <w:lang w:val="lv-LV"/>
        </w:rPr>
        <w:t>s plūsmas, kas koriģētas par sagaidāmām variācijām naudas plūsmu laikā un apjomā, izmantojot metodoloģiju, kas atbilst sagaidāmo kredītzaudējumu noteikšanas metodoloģijai 202</w:t>
      </w:r>
      <w:r>
        <w:rPr>
          <w:rFonts w:ascii="Arial Narrow" w:eastAsia="Arial Narrow" w:hAnsi="Arial Narrow" w:cs="Arial Narrow"/>
          <w:sz w:val="16"/>
          <w:szCs w:val="16"/>
          <w:lang w:val="lv-LV"/>
        </w:rPr>
        <w:t>1</w:t>
      </w:r>
      <w:r w:rsidRPr="00876197">
        <w:rPr>
          <w:rFonts w:ascii="Arial Narrow" w:eastAsia="Arial Narrow" w:hAnsi="Arial Narrow" w:cs="Arial Narrow"/>
          <w:sz w:val="16"/>
          <w:szCs w:val="16"/>
          <w:lang w:val="lv-LV"/>
        </w:rPr>
        <w:t>. gada 31. decembrī, lai noteiktu naudas plūsmas, kuras paredzams saņemt, atskait</w:t>
      </w:r>
      <w:r w:rsidRPr="00876197">
        <w:rPr>
          <w:rFonts w:ascii="Arial Narrow" w:eastAsia="Arial Narrow" w:hAnsi="Arial Narrow" w:cs="Arial Narrow"/>
          <w:sz w:val="16"/>
          <w:szCs w:val="16"/>
          <w:lang w:val="lv-LV"/>
        </w:rPr>
        <w:t xml:space="preserve">ot zaudējumus no vērtības samazināšanās. Diskonta likmes pamatā ir uzņēmuma, kurš tur attiecīgos finanšu instrumentus, pirmsnodokļa svērtā vidējā kapitāla cena (WACC). WACC pamatā ir faktiskā aplēstā kapitāla cena un parāda cena, kas atspoguļo citus nomas </w:t>
      </w:r>
      <w:r w:rsidRPr="00876197">
        <w:rPr>
          <w:rFonts w:ascii="Arial Narrow" w:eastAsia="Arial Narrow" w:hAnsi="Arial Narrow" w:cs="Arial Narrow"/>
          <w:sz w:val="16"/>
          <w:szCs w:val="16"/>
          <w:lang w:val="lv-LV"/>
        </w:rPr>
        <w:t>un aizdevumu darījumu riskus, kas nav ņemti vērā, veicot iepriekš aprakstīto vērtības samazinājuma zaudējumu korekciju, un ietver atlīdzību par iespējamām izmaksām, kas rastos, slēdzot līdzīgu nomas vai aizdevuma darījumu. Diskonta likmei tiek pievienoti p</w:t>
      </w:r>
      <w:r w:rsidRPr="00876197">
        <w:rPr>
          <w:rFonts w:ascii="Arial Narrow" w:eastAsia="Arial Narrow" w:hAnsi="Arial Narrow" w:cs="Arial Narrow"/>
          <w:sz w:val="16"/>
          <w:szCs w:val="16"/>
          <w:lang w:val="lv-LV"/>
        </w:rPr>
        <w:t xml:space="preserve">apildu 1.5% kā korekcija par portfeļa apkalpošanas izmaksām, kuras nav ietvertas naudas plūsmu korekcijās. </w:t>
      </w:r>
    </w:p>
    <w:p w:rsidR="00E7105E" w:rsidRPr="00876197" w:rsidP="00B42D0E" w14:paraId="49E65D74" w14:textId="5C81EA6F">
      <w:pPr>
        <w:spacing w:after="0" w:line="360" w:lineRule="auto"/>
        <w:jc w:val="both"/>
        <w:rPr>
          <w:rFonts w:ascii="Arial Narrow" w:eastAsia="Arial Narrow" w:hAnsi="Arial Narrow" w:cs="Arial Narrow"/>
          <w:sz w:val="16"/>
          <w:szCs w:val="16"/>
          <w:lang w:val="lv-LV"/>
        </w:rPr>
      </w:pPr>
      <w:r w:rsidRPr="00876197">
        <w:rPr>
          <w:rFonts w:ascii="Arial Narrow" w:eastAsia="Arial Narrow" w:hAnsi="Arial Narrow" w:cs="Arial Narrow"/>
          <w:sz w:val="16"/>
          <w:szCs w:val="16"/>
          <w:lang w:val="lv-LV"/>
        </w:rPr>
        <w:t xml:space="preserve">Gada diskonta likme tika noteikta </w:t>
      </w:r>
      <w:r>
        <w:rPr>
          <w:rFonts w:ascii="Arial Narrow" w:eastAsia="Arial Narrow" w:hAnsi="Arial Narrow" w:cs="Arial Narrow"/>
          <w:sz w:val="16"/>
          <w:szCs w:val="16"/>
          <w:lang w:val="lv-LV"/>
        </w:rPr>
        <w:t>12,18</w:t>
      </w:r>
      <w:r w:rsidRPr="00876197">
        <w:rPr>
          <w:rFonts w:ascii="Arial Narrow" w:eastAsia="Arial Narrow" w:hAnsi="Arial Narrow" w:cs="Arial Narrow"/>
          <w:sz w:val="16"/>
          <w:szCs w:val="16"/>
          <w:lang w:val="lv-LV"/>
        </w:rPr>
        <w:t>% apmērā (20</w:t>
      </w:r>
      <w:r>
        <w:rPr>
          <w:rFonts w:ascii="Arial Narrow" w:eastAsia="Arial Narrow" w:hAnsi="Arial Narrow" w:cs="Arial Narrow"/>
          <w:sz w:val="16"/>
          <w:szCs w:val="16"/>
          <w:lang w:val="lv-LV"/>
        </w:rPr>
        <w:t>20</w:t>
      </w:r>
      <w:r w:rsidRPr="00876197">
        <w:rPr>
          <w:rFonts w:ascii="Arial Narrow" w:eastAsia="Arial Narrow" w:hAnsi="Arial Narrow" w:cs="Arial Narrow"/>
          <w:sz w:val="16"/>
          <w:szCs w:val="16"/>
          <w:lang w:val="lv-LV"/>
        </w:rPr>
        <w:t>.gadā: 13,</w:t>
      </w:r>
      <w:r>
        <w:rPr>
          <w:rFonts w:ascii="Arial Narrow" w:eastAsia="Arial Narrow" w:hAnsi="Arial Narrow" w:cs="Arial Narrow"/>
          <w:sz w:val="16"/>
          <w:szCs w:val="16"/>
          <w:lang w:val="lv-LV"/>
        </w:rPr>
        <w:t>59</w:t>
      </w:r>
      <w:r w:rsidRPr="00876197">
        <w:rPr>
          <w:rFonts w:ascii="Arial Narrow" w:eastAsia="Arial Narrow" w:hAnsi="Arial Narrow" w:cs="Arial Narrow"/>
          <w:sz w:val="16"/>
          <w:szCs w:val="16"/>
          <w:lang w:val="lv-LV"/>
        </w:rPr>
        <w:t>%). Vērtības samazinājuma zaudējumus aplēš, piemērojot PD un LGD rādītājus, kas atb</w:t>
      </w:r>
      <w:r w:rsidRPr="00876197">
        <w:rPr>
          <w:rFonts w:ascii="Arial Narrow" w:eastAsia="Arial Narrow" w:hAnsi="Arial Narrow" w:cs="Arial Narrow"/>
          <w:sz w:val="16"/>
          <w:szCs w:val="16"/>
          <w:lang w:val="lv-LV"/>
        </w:rPr>
        <w:t xml:space="preserve">ilst ECL metodoloģijai, kas aprakstīta </w:t>
      </w:r>
      <w:r w:rsidRPr="00876197">
        <w:rPr>
          <w:rFonts w:ascii="Arial Narrow" w:eastAsia="Arial Narrow" w:hAnsi="Arial Narrow" w:cs="Arial Narrow"/>
          <w:sz w:val="16"/>
          <w:szCs w:val="16"/>
          <w:lang w:val="lv-LV"/>
        </w:rPr>
        <w:t>2</w:t>
      </w:r>
      <w:r w:rsidRPr="00876197">
        <w:rPr>
          <w:rFonts w:ascii="Arial Narrow" w:eastAsia="Arial Narrow" w:hAnsi="Arial Narrow" w:cs="Arial Narrow"/>
          <w:sz w:val="16"/>
          <w:szCs w:val="16"/>
          <w:lang w:val="lv-LV"/>
        </w:rPr>
        <w:t>. piezīmes sadaļā “Sagaidāmo kredītzaudējumu aprēķināšana”.</w:t>
      </w:r>
    </w:p>
    <w:p w:rsidR="00B42D0E" w:rsidRPr="00876197" w:rsidP="00B42D0E" w14:paraId="79FB6C72" w14:textId="77777777">
      <w:pPr>
        <w:spacing w:after="0" w:line="360" w:lineRule="auto"/>
        <w:jc w:val="both"/>
        <w:rPr>
          <w:rFonts w:ascii="Arial Narrow" w:eastAsia="Arial Narrow" w:hAnsi="Arial Narrow" w:cs="Arial Narrow"/>
          <w:sz w:val="16"/>
          <w:szCs w:val="16"/>
          <w:lang w:val="lv-LV"/>
        </w:rPr>
      </w:pPr>
    </w:p>
    <w:p w:rsidR="00E7105E" w:rsidRPr="00876197" w:rsidP="00B42D0E" w14:paraId="3A40833C" w14:textId="622670AB">
      <w:pPr>
        <w:spacing w:after="0" w:line="360" w:lineRule="auto"/>
        <w:jc w:val="both"/>
        <w:rPr>
          <w:rFonts w:ascii="Arial Narrow" w:eastAsia="Arial Narrow" w:hAnsi="Arial Narrow" w:cs="Arial Narrow"/>
          <w:sz w:val="16"/>
          <w:szCs w:val="16"/>
          <w:lang w:val="lv-LV"/>
        </w:rPr>
      </w:pPr>
      <w:r w:rsidRPr="00876197">
        <w:rPr>
          <w:rFonts w:ascii="Arial Narrow" w:eastAsia="Arial Narrow" w:hAnsi="Arial Narrow" w:cs="Arial Narrow"/>
          <w:sz w:val="16"/>
          <w:szCs w:val="16"/>
          <w:lang w:val="lv-LV"/>
        </w:rPr>
        <w:t>Īstermiņa un ilgtermiņa aizņēmumu patiesā vērtība tiek aprēķināta izmantojot efektīvo procentu likmi, kas ir tirgus likme. Koncerna vadība uzskat</w:t>
      </w:r>
      <w:r w:rsidRPr="00876197">
        <w:rPr>
          <w:rFonts w:ascii="Arial Narrow" w:eastAsia="Arial Narrow" w:hAnsi="Arial Narrow" w:cs="Arial Narrow"/>
          <w:sz w:val="16"/>
          <w:szCs w:val="16"/>
          <w:lang w:val="lv-LV"/>
        </w:rPr>
        <w:t xml:space="preserve">a, ka aizņēmumu un aizdevumu procentu likmes ir tirgus procentu likmju līmenī, salīdzinot ar  AS “mogo” līdzīgiem uzņēmumiem. Vadība atzīst, ka, ja šādu aktīvu/saistību patiesā vērtība tiktu novērtēta kā summa, par kādu varētu apmainīt aktīvu vai nokārtot </w:t>
      </w:r>
      <w:r w:rsidRPr="00876197">
        <w:rPr>
          <w:rFonts w:ascii="Arial Narrow" w:eastAsia="Arial Narrow" w:hAnsi="Arial Narrow" w:cs="Arial Narrow"/>
          <w:sz w:val="16"/>
          <w:szCs w:val="16"/>
          <w:lang w:val="lv-LV"/>
        </w:rPr>
        <w:t>saistības ar zinošām trešām pusēm, attiecīgo aktīvu un saistību patiesa vērtība būtiski neatšķirtos.</w:t>
      </w:r>
      <w:r w:rsidRPr="00876197">
        <w:rPr>
          <w:rFonts w:ascii="Arial Narrow" w:eastAsia="Arial Narrow" w:hAnsi="Arial Narrow" w:cs="Arial Narrow"/>
          <w:sz w:val="16"/>
          <w:szCs w:val="16"/>
          <w:lang w:val="lv-LV"/>
        </w:rPr>
        <w:tab/>
      </w:r>
    </w:p>
    <w:p w:rsidR="00B42D0E" w:rsidRPr="00876197" w:rsidP="00B42D0E" w14:paraId="764ADE46" w14:textId="77777777">
      <w:pPr>
        <w:spacing w:after="0" w:line="360" w:lineRule="auto"/>
        <w:jc w:val="both"/>
        <w:rPr>
          <w:rFonts w:ascii="Arial Narrow" w:eastAsia="Arial Narrow" w:hAnsi="Arial Narrow" w:cs="Arial Narrow"/>
          <w:sz w:val="16"/>
          <w:szCs w:val="16"/>
          <w:lang w:val="lv-LV"/>
        </w:rPr>
      </w:pPr>
    </w:p>
    <w:p w:rsidR="00E7105E" w:rsidRPr="00876197" w:rsidP="00B42D0E" w14:paraId="07896AA2" w14:textId="6FA3B45A">
      <w:pPr>
        <w:spacing w:after="0" w:line="360" w:lineRule="auto"/>
        <w:jc w:val="both"/>
        <w:rPr>
          <w:rFonts w:ascii="Arial Narrow" w:eastAsia="Arial Narrow" w:hAnsi="Arial Narrow" w:cs="Arial Narrow"/>
          <w:sz w:val="16"/>
          <w:szCs w:val="16"/>
          <w:lang w:val="lv-LV"/>
        </w:rPr>
      </w:pPr>
      <w:r w:rsidRPr="00876197">
        <w:rPr>
          <w:rFonts w:ascii="Arial Narrow" w:eastAsia="Arial Narrow" w:hAnsi="Arial Narrow" w:cs="Arial Narrow"/>
          <w:sz w:val="16"/>
          <w:szCs w:val="16"/>
          <w:lang w:val="lv-LV"/>
        </w:rPr>
        <w:t xml:space="preserve">Aktīviem un saistībām, kas periodiski tiek atzīti finanšu pārskatos, Koncerns nosaka, vai nav notikušas izmaiņas starp hierarhijas līmeņiem, pārvērtējot </w:t>
      </w:r>
      <w:r w:rsidRPr="00876197">
        <w:rPr>
          <w:rFonts w:ascii="Arial Narrow" w:eastAsia="Arial Narrow" w:hAnsi="Arial Narrow" w:cs="Arial Narrow"/>
          <w:sz w:val="16"/>
          <w:szCs w:val="16"/>
          <w:lang w:val="lv-LV"/>
        </w:rPr>
        <w:t>klasifikāciju (pamatojoties uz zemāko līmeni, kas ir būtisks patiesās vērtības noteikšanai kā veselam) katra pārskata perioda beigās. Patiesās vērtības noteikšanai Koncerns ir noteicis aktīvu un saistību klases, pamatojoties uz aktīva vai saistību veidu, r</w:t>
      </w:r>
      <w:r w:rsidRPr="00876197">
        <w:rPr>
          <w:rFonts w:ascii="Arial Narrow" w:eastAsia="Arial Narrow" w:hAnsi="Arial Narrow" w:cs="Arial Narrow"/>
          <w:sz w:val="16"/>
          <w:szCs w:val="16"/>
          <w:lang w:val="lv-LV"/>
        </w:rPr>
        <w:t>aksturlielumiem un riskiem, kā arī patiesās vērtības hierarhijas līmeni, kā paskaidrots iepriekš.</w:t>
      </w:r>
    </w:p>
    <w:p w:rsidR="00B42D0E" w:rsidRPr="00876197" w:rsidP="00B42D0E" w14:paraId="34A2755D" w14:textId="77777777">
      <w:pPr>
        <w:spacing w:after="0" w:line="360" w:lineRule="auto"/>
        <w:jc w:val="both"/>
        <w:rPr>
          <w:rFonts w:ascii="Arial Narrow" w:eastAsia="Arial Narrow" w:hAnsi="Arial Narrow" w:cs="Arial Narrow"/>
          <w:sz w:val="16"/>
          <w:szCs w:val="16"/>
          <w:lang w:val="lv-LV"/>
        </w:rPr>
      </w:pPr>
    </w:p>
    <w:p w:rsidR="00714703" w:rsidRPr="00876197" w:rsidP="00B42D0E" w14:textId="313E0DC1">
      <w:pPr>
        <w:spacing w:after="0" w:line="360" w:lineRule="auto"/>
        <w:jc w:val="both"/>
        <w:rPr>
          <w:rFonts w:ascii="Arial Narrow" w:eastAsia="Arial Narrow" w:hAnsi="Arial Narrow" w:cs="Arial Narrow"/>
          <w:sz w:val="16"/>
          <w:szCs w:val="16"/>
          <w:lang w:val="lv-LV"/>
        </w:rPr>
      </w:pPr>
      <w:r w:rsidRPr="00876197">
        <w:rPr>
          <w:rFonts w:ascii="Arial Narrow" w:eastAsia="Arial Narrow" w:hAnsi="Arial Narrow" w:cs="Arial Narrow"/>
          <w:sz w:val="16"/>
          <w:szCs w:val="16"/>
          <w:lang w:val="lv-LV"/>
        </w:rPr>
        <w:t>Tabulā ir uzrādītas to finanšu aktīvu un saistību uzskaites vērtības un patiesās vērtības, kas Koncerna finanšu stāvokļa pārskatā nav uzrādītas patiesajā vēr</w:t>
      </w:r>
      <w:r w:rsidRPr="00876197">
        <w:rPr>
          <w:rFonts w:ascii="Arial Narrow" w:eastAsia="Arial Narrow" w:hAnsi="Arial Narrow" w:cs="Arial Narrow"/>
          <w:sz w:val="16"/>
          <w:szCs w:val="16"/>
          <w:lang w:val="lv-LV"/>
        </w:rPr>
        <w:t>tībā:</w:t>
      </w:r>
    </w:p>
    <w:p>
      <w:pPr>
        <w:spacing w:before="0" w:beforeAutospacing="0" w:after="0" w:afterAutospacing="0" w:line="240" w:lineRule="auto"/>
        <w:rPr>
          <w:rFonts w:ascii="Arial Narrow" w:eastAsia="Arial Narrow" w:hAnsi="Arial Narrow" w:cs="Arial Narrow"/>
          <w:sz w:val="16"/>
        </w:rPr>
      </w:pPr>
    </w:p>
    <w:tbl>
      <w:tblPr>
        <w:tblStyle w:val="CDMRange2"/>
        <w:tblW w:w="9600" w:type="dxa"/>
        <w:tblLayout w:type="fixed"/>
        <w:tblLook w:val="0600"/>
      </w:tblPr>
      <w:tblGrid>
        <w:gridCol w:w="6000"/>
        <w:gridCol w:w="900"/>
        <w:gridCol w:w="900"/>
        <w:gridCol w:w="900"/>
        <w:gridCol w:w="900"/>
      </w:tblGrid>
      <w:tr>
        <w:tblPrEx>
          <w:tblW w:w="9600" w:type="dxa"/>
          <w:tblLayout w:type="fixed"/>
          <w:tblLook w:val="0600"/>
        </w:tblPrEx>
        <w:trPr>
          <w:trHeight w:val="510"/>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Uzskaites </w:t>
            </w:r>
          </w:p>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vērtība</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Patiesā vērtība </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Uzskaites </w:t>
            </w:r>
          </w:p>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vērtība</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Patiesā vērtība </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9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9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c>
          <w:tcPr>
            <w:tcW w:w="9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Patiesajā vērtībā novērtēti finanšu aktīvi:</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Ieguldījumu vērtspapīri</w:t>
            </w:r>
          </w:p>
        </w:tc>
        <w:tc>
          <w:tcPr>
            <w:tcW w:w="900" w:type="dxa"/>
            <w:tcBorders>
              <w:top w:val="single" w:sz="4" w:space="0" w:color="000000"/>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609,000</w:t>
            </w:r>
          </w:p>
        </w:tc>
        <w:tc>
          <w:tcPr>
            <w:tcW w:w="900" w:type="dxa"/>
            <w:tcBorders>
              <w:top w:val="single" w:sz="4" w:space="0" w:color="000000"/>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609,000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Patiesajā vērtībā nenovērtēti finanšu aktīvi:</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Aizdevumi saistītajām pusēm </w:t>
            </w:r>
          </w:p>
        </w:tc>
        <w:tc>
          <w:tcPr>
            <w:tcW w:w="900" w:type="dxa"/>
            <w:tcBorders>
              <w:top w:val="single" w:sz="4" w:space="0" w:color="000000"/>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35,101,118</w:t>
            </w:r>
          </w:p>
        </w:tc>
        <w:tc>
          <w:tcPr>
            <w:tcW w:w="900" w:type="dxa"/>
            <w:tcBorders>
              <w:top w:val="single" w:sz="4" w:space="0" w:color="000000"/>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35,101,118</w:t>
            </w:r>
          </w:p>
        </w:tc>
        <w:tc>
          <w:tcPr>
            <w:tcW w:w="900" w:type="dxa"/>
            <w:tcBorders>
              <w:top w:val="single" w:sz="4" w:space="0" w:color="000000"/>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28,332,765</w:t>
            </w:r>
          </w:p>
        </w:tc>
        <w:tc>
          <w:tcPr>
            <w:tcW w:w="900" w:type="dxa"/>
            <w:tcBorders>
              <w:top w:val="single" w:sz="4" w:space="0" w:color="000000"/>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28,332,765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No finanšu nomas izrietošas prasības </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2,467,177</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3,282,755</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2,872,116</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4,122,209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Kredīti un izsniegtie avansi</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3,411,220</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4,397,117</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9,111,131</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12,767,295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Saistīto pušu debitoru parādi</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1,380,291</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1,380,291</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542,937</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542,937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Pircēju un pasūtītāju parādi</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326,297</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326,297</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420,792</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420,792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Citi debitori</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40,639</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40,639</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293,961</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293,961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Nauda un naudas ekvivalenti</w:t>
            </w:r>
          </w:p>
        </w:tc>
        <w:tc>
          <w:tcPr>
            <w:tcW w:w="900" w:type="dxa"/>
            <w:tcBorders>
              <w:top w:val="nil"/>
              <w:left w:val="nil"/>
              <w:bottom w:val="single" w:sz="4" w:space="0" w:color="000000"/>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403,812</w:t>
            </w:r>
          </w:p>
        </w:tc>
        <w:tc>
          <w:tcPr>
            <w:tcW w:w="900" w:type="dxa"/>
            <w:tcBorders>
              <w:top w:val="nil"/>
              <w:left w:val="nil"/>
              <w:bottom w:val="single" w:sz="4" w:space="0" w:color="000000"/>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403,812</w:t>
            </w:r>
          </w:p>
        </w:tc>
        <w:tc>
          <w:tcPr>
            <w:tcW w:w="900" w:type="dxa"/>
            <w:tcBorders>
              <w:top w:val="nil"/>
              <w:left w:val="nil"/>
              <w:bottom w:val="single" w:sz="4" w:space="0" w:color="000000"/>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160,318</w:t>
            </w:r>
          </w:p>
        </w:tc>
        <w:tc>
          <w:tcPr>
            <w:tcW w:w="900" w:type="dxa"/>
            <w:tcBorders>
              <w:top w:val="nil"/>
              <w:left w:val="nil"/>
              <w:bottom w:val="single" w:sz="4" w:space="0" w:color="000000"/>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160,318</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aktīvi, kuriem uzrādīta patiesā vērtība</w:t>
            </w:r>
          </w:p>
        </w:tc>
        <w:tc>
          <w:tcPr>
            <w:tcW w:w="900" w:type="dxa"/>
            <w:tcBorders>
              <w:top w:val="single" w:sz="4" w:space="0" w:color="000000"/>
              <w:left w:val="nil"/>
              <w:bottom w:val="single" w:sz="4" w:space="0" w:color="000000"/>
              <w:right w:val="nil"/>
              <w:tl2br w:val="nil"/>
              <w:tr2bl w:val="nil"/>
            </w:tcBorders>
            <w:shd w:val="clear" w:color="auto" w:fill="auto"/>
            <w:noWrap w:val="0"/>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43,130,554</w:t>
            </w:r>
          </w:p>
        </w:tc>
        <w:tc>
          <w:tcPr>
            <w:tcW w:w="900" w:type="dxa"/>
            <w:tcBorders>
              <w:top w:val="single" w:sz="4" w:space="0" w:color="000000"/>
              <w:left w:val="nil"/>
              <w:bottom w:val="single" w:sz="4" w:space="0" w:color="000000"/>
              <w:right w:val="nil"/>
              <w:tl2br w:val="nil"/>
              <w:tr2bl w:val="nil"/>
            </w:tcBorders>
            <w:shd w:val="clear" w:color="auto" w:fill="auto"/>
            <w:noWrap w:val="0"/>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44,932,029</w:t>
            </w:r>
          </w:p>
        </w:tc>
        <w:tc>
          <w:tcPr>
            <w:tcW w:w="900" w:type="dxa"/>
            <w:tcBorders>
              <w:top w:val="single" w:sz="4" w:space="0" w:color="000000"/>
              <w:left w:val="nil"/>
              <w:bottom w:val="single" w:sz="4" w:space="0" w:color="000000"/>
              <w:right w:val="nil"/>
              <w:tl2br w:val="nil"/>
              <w:tr2bl w:val="nil"/>
            </w:tcBorders>
            <w:shd w:val="clear" w:color="auto" w:fill="auto"/>
            <w:noWrap w:val="0"/>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42,343,020</w:t>
            </w:r>
          </w:p>
        </w:tc>
        <w:tc>
          <w:tcPr>
            <w:tcW w:w="900" w:type="dxa"/>
            <w:tcBorders>
              <w:top w:val="single" w:sz="4" w:space="0" w:color="000000"/>
              <w:left w:val="nil"/>
              <w:bottom w:val="single" w:sz="4" w:space="0" w:color="000000"/>
              <w:right w:val="nil"/>
              <w:tl2br w:val="nil"/>
              <w:tr2bl w:val="nil"/>
            </w:tcBorders>
            <w:shd w:val="clear" w:color="auto" w:fill="auto"/>
            <w:noWrap w:val="0"/>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47,249,277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495"/>
        </w:trPr>
        <w:tc>
          <w:tcPr>
            <w:tcW w:w="60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Uzskaites </w:t>
            </w:r>
          </w:p>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vērtība</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Patiesā vērtība </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Uzskaites </w:t>
            </w:r>
          </w:p>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vērtība</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Patiesā vērtība </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9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9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c>
          <w:tcPr>
            <w:tcW w:w="9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Saistības, kurām uzrādīta patiesā vērtība</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Īstermiņa aizņēmumi pret obligācijām </w:t>
            </w:r>
          </w:p>
        </w:tc>
        <w:tc>
          <w:tcPr>
            <w:tcW w:w="900" w:type="dxa"/>
            <w:tcBorders>
              <w:top w:val="single" w:sz="4" w:space="0" w:color="000000"/>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29,205,008</w:t>
            </w:r>
          </w:p>
        </w:tc>
        <w:tc>
          <w:tcPr>
            <w:tcW w:w="900" w:type="dxa"/>
            <w:tcBorders>
              <w:top w:val="single" w:sz="4" w:space="0" w:color="000000"/>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30,000,000</w:t>
            </w:r>
          </w:p>
        </w:tc>
        <w:tc>
          <w:tcPr>
            <w:tcW w:w="900" w:type="dxa"/>
            <w:tcBorders>
              <w:top w:val="single" w:sz="4" w:space="0" w:color="000000"/>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24,480,115</w:t>
            </w:r>
          </w:p>
        </w:tc>
        <w:tc>
          <w:tcPr>
            <w:tcW w:w="900" w:type="dxa"/>
            <w:tcBorders>
              <w:top w:val="single" w:sz="4" w:space="0" w:color="000000"/>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23,566,794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Savstarpējās kreditēšanas platformās piesaistīts finansējums</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5,795,768</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5,795,768</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13,585,370</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13,585,370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Aizņēmumi no bankām</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1,689,826</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1,689,826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Aizņēmumi no saistītajiem uzņēmumiem</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1,705,000</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1,705,000</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Parādi piegādātājiem un darbuzņēmējiem </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162,974</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162,974</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128,887</w:t>
            </w:r>
          </w:p>
        </w:tc>
        <w:tc>
          <w:tcPr>
            <w:tcW w:w="900" w:type="dxa"/>
            <w:tcBorders>
              <w:top w:val="nil"/>
              <w:left w:val="nil"/>
              <w:bottom w:val="nil"/>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128,887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Pārējie kreditori</w:t>
            </w:r>
          </w:p>
        </w:tc>
        <w:tc>
          <w:tcPr>
            <w:tcW w:w="900" w:type="dxa"/>
            <w:tcBorders>
              <w:top w:val="nil"/>
              <w:left w:val="nil"/>
              <w:bottom w:val="single" w:sz="4" w:space="0" w:color="000000"/>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1,378,862</w:t>
            </w:r>
          </w:p>
        </w:tc>
        <w:tc>
          <w:tcPr>
            <w:tcW w:w="900" w:type="dxa"/>
            <w:tcBorders>
              <w:top w:val="nil"/>
              <w:left w:val="nil"/>
              <w:bottom w:val="single" w:sz="4" w:space="0" w:color="000000"/>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1,378,862</w:t>
            </w:r>
          </w:p>
        </w:tc>
        <w:tc>
          <w:tcPr>
            <w:tcW w:w="900" w:type="dxa"/>
            <w:tcBorders>
              <w:top w:val="nil"/>
              <w:left w:val="nil"/>
              <w:bottom w:val="single" w:sz="4" w:space="0" w:color="000000"/>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1,272,130</w:t>
            </w:r>
          </w:p>
        </w:tc>
        <w:tc>
          <w:tcPr>
            <w:tcW w:w="900" w:type="dxa"/>
            <w:tcBorders>
              <w:top w:val="nil"/>
              <w:left w:val="nil"/>
              <w:bottom w:val="single" w:sz="4" w:space="0" w:color="000000"/>
              <w:right w:val="nil"/>
              <w:tl2br w:val="nil"/>
              <w:tr2bl w:val="nil"/>
            </w:tcBorders>
            <w:shd w:val="clear" w:color="auto" w:fill="auto"/>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1,272,130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6000"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saistības, kurām uzrādīta patiesā vērtība</w:t>
            </w:r>
          </w:p>
        </w:tc>
        <w:tc>
          <w:tcPr>
            <w:tcW w:w="900" w:type="dxa"/>
            <w:tcBorders>
              <w:top w:val="single" w:sz="4" w:space="0" w:color="000000"/>
              <w:left w:val="nil"/>
              <w:bottom w:val="single" w:sz="4" w:space="0" w:color="000000"/>
              <w:right w:val="nil"/>
              <w:tl2br w:val="nil"/>
              <w:tr2bl w:val="nil"/>
            </w:tcBorders>
            <w:shd w:val="clear" w:color="auto" w:fill="auto"/>
            <w:noWrap w:val="0"/>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38,247,612</w:t>
            </w:r>
          </w:p>
        </w:tc>
        <w:tc>
          <w:tcPr>
            <w:tcW w:w="900" w:type="dxa"/>
            <w:tcBorders>
              <w:top w:val="single" w:sz="4" w:space="0" w:color="000000"/>
              <w:left w:val="nil"/>
              <w:bottom w:val="single" w:sz="4" w:space="0" w:color="000000"/>
              <w:right w:val="nil"/>
              <w:tl2br w:val="nil"/>
              <w:tr2bl w:val="nil"/>
            </w:tcBorders>
            <w:shd w:val="clear" w:color="auto" w:fill="auto"/>
            <w:noWrap w:val="0"/>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39,042,604</w:t>
            </w:r>
          </w:p>
        </w:tc>
        <w:tc>
          <w:tcPr>
            <w:tcW w:w="900" w:type="dxa"/>
            <w:tcBorders>
              <w:top w:val="single" w:sz="4" w:space="0" w:color="000000"/>
              <w:left w:val="nil"/>
              <w:bottom w:val="single" w:sz="4" w:space="0" w:color="000000"/>
              <w:right w:val="nil"/>
              <w:tl2br w:val="nil"/>
              <w:tr2bl w:val="nil"/>
            </w:tcBorders>
            <w:shd w:val="clear" w:color="auto" w:fill="auto"/>
            <w:noWrap w:val="0"/>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41,156,328</w:t>
            </w:r>
          </w:p>
        </w:tc>
        <w:tc>
          <w:tcPr>
            <w:tcW w:w="900" w:type="dxa"/>
            <w:tcBorders>
              <w:top w:val="single" w:sz="4" w:space="0" w:color="000000"/>
              <w:left w:val="nil"/>
              <w:bottom w:val="single" w:sz="4" w:space="0" w:color="000000"/>
              <w:right w:val="nil"/>
              <w:tl2br w:val="nil"/>
              <w:tr2bl w:val="nil"/>
            </w:tcBorders>
            <w:shd w:val="clear" w:color="auto" w:fill="auto"/>
            <w:noWrap w:val="0"/>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40,243,007</w:t>
            </w:r>
          </w:p>
        </w:tc>
      </w:tr>
    </w:tbl>
    <w:p w:rsidR="00EB2318" w:rsidP="000B2ACC" w14:paraId="331A8B4E" w14:textId="70ECEFC3">
      <w:pPr>
        <w:pageBreakBefore/>
        <w:spacing w:after="0" w:line="360" w:lineRule="auto"/>
        <w:jc w:val="both"/>
        <w:rPr>
          <w:rFonts w:ascii="Arial Narrow" w:eastAsia="Arial Narrow" w:hAnsi="Arial Narrow" w:cs="Arial Narrow"/>
          <w:b/>
          <w:bCs/>
          <w:sz w:val="16"/>
          <w:szCs w:val="16"/>
        </w:rPr>
      </w:pPr>
      <w:bookmarkStart w:id="1237" w:name="RG_MARKER_6673"/>
      <w:r w:rsidRPr="000B2ACC">
        <w:rPr>
          <w:rFonts w:ascii="Arial Narrow" w:eastAsia="Arial Narrow" w:hAnsi="Arial Narrow" w:cs="Arial Narrow"/>
          <w:b/>
          <w:bCs/>
          <w:sz w:val="16"/>
          <w:szCs w:val="16"/>
        </w:rPr>
        <w:t xml:space="preserve">41. </w:t>
      </w:r>
      <w:bookmarkEnd w:id="1237"/>
      <w:r w:rsidRPr="000B2ACC">
        <w:rPr>
          <w:rFonts w:ascii="Arial Narrow" w:eastAsia="Arial Narrow" w:hAnsi="Arial Narrow" w:cs="Arial Narrow"/>
          <w:b/>
          <w:bCs/>
          <w:sz w:val="16"/>
          <w:szCs w:val="16"/>
        </w:rPr>
        <w:t>Finanšu</w:t>
      </w:r>
      <w:r w:rsidRPr="000B2ACC">
        <w:rPr>
          <w:rFonts w:ascii="Arial Narrow" w:eastAsia="Arial Narrow" w:hAnsi="Arial Narrow" w:cs="Arial Narrow"/>
          <w:b/>
          <w:bCs/>
          <w:sz w:val="16"/>
          <w:szCs w:val="16"/>
        </w:rPr>
        <w:t xml:space="preserve"> </w:t>
      </w:r>
      <w:r w:rsidRPr="000B2ACC">
        <w:rPr>
          <w:rFonts w:ascii="Arial Narrow" w:eastAsia="Arial Narrow" w:hAnsi="Arial Narrow" w:cs="Arial Narrow"/>
          <w:b/>
          <w:bCs/>
          <w:sz w:val="16"/>
          <w:szCs w:val="16"/>
        </w:rPr>
        <w:t>aktīvu</w:t>
      </w:r>
      <w:r w:rsidRPr="000B2ACC">
        <w:rPr>
          <w:rFonts w:ascii="Arial Narrow" w:eastAsia="Arial Narrow" w:hAnsi="Arial Narrow" w:cs="Arial Narrow"/>
          <w:b/>
          <w:bCs/>
          <w:sz w:val="16"/>
          <w:szCs w:val="16"/>
        </w:rPr>
        <w:t xml:space="preserve"> un </w:t>
      </w:r>
      <w:r w:rsidRPr="000B2ACC">
        <w:rPr>
          <w:rFonts w:ascii="Arial Narrow" w:eastAsia="Arial Narrow" w:hAnsi="Arial Narrow" w:cs="Arial Narrow"/>
          <w:b/>
          <w:bCs/>
          <w:sz w:val="16"/>
          <w:szCs w:val="16"/>
        </w:rPr>
        <w:t>finanšu</w:t>
      </w:r>
      <w:r w:rsidRPr="000B2ACC">
        <w:rPr>
          <w:rFonts w:ascii="Arial Narrow" w:eastAsia="Arial Narrow" w:hAnsi="Arial Narrow" w:cs="Arial Narrow"/>
          <w:b/>
          <w:bCs/>
          <w:sz w:val="16"/>
          <w:szCs w:val="16"/>
        </w:rPr>
        <w:t xml:space="preserve"> </w:t>
      </w:r>
      <w:r w:rsidRPr="000B2ACC">
        <w:rPr>
          <w:rFonts w:ascii="Arial Narrow" w:eastAsia="Arial Narrow" w:hAnsi="Arial Narrow" w:cs="Arial Narrow"/>
          <w:b/>
          <w:bCs/>
          <w:sz w:val="16"/>
          <w:szCs w:val="16"/>
        </w:rPr>
        <w:t>saistību</w:t>
      </w:r>
      <w:r w:rsidRPr="000B2ACC">
        <w:rPr>
          <w:rFonts w:ascii="Arial Narrow" w:eastAsia="Arial Narrow" w:hAnsi="Arial Narrow" w:cs="Arial Narrow"/>
          <w:b/>
          <w:bCs/>
          <w:sz w:val="16"/>
          <w:szCs w:val="16"/>
        </w:rPr>
        <w:t xml:space="preserve"> </w:t>
      </w:r>
      <w:r w:rsidRPr="000B2ACC">
        <w:rPr>
          <w:rFonts w:ascii="Arial Narrow" w:eastAsia="Arial Narrow" w:hAnsi="Arial Narrow" w:cs="Arial Narrow"/>
          <w:b/>
          <w:bCs/>
          <w:sz w:val="16"/>
          <w:szCs w:val="16"/>
        </w:rPr>
        <w:t>patiesā</w:t>
      </w:r>
      <w:r w:rsidRPr="000B2ACC">
        <w:rPr>
          <w:rFonts w:ascii="Arial Narrow" w:eastAsia="Arial Narrow" w:hAnsi="Arial Narrow" w:cs="Arial Narrow"/>
          <w:b/>
          <w:bCs/>
          <w:sz w:val="16"/>
          <w:szCs w:val="16"/>
        </w:rPr>
        <w:t xml:space="preserve"> </w:t>
      </w:r>
      <w:r w:rsidRPr="000B2ACC">
        <w:rPr>
          <w:rFonts w:ascii="Arial Narrow" w:eastAsia="Arial Narrow" w:hAnsi="Arial Narrow" w:cs="Arial Narrow"/>
          <w:b/>
          <w:bCs/>
          <w:sz w:val="16"/>
          <w:szCs w:val="16"/>
        </w:rPr>
        <w:t>vērtība</w:t>
      </w:r>
      <w:r w:rsidRPr="000B2ACC">
        <w:rPr>
          <w:rFonts w:ascii="Arial Narrow" w:eastAsia="Arial Narrow" w:hAnsi="Arial Narrow" w:cs="Arial Narrow"/>
          <w:b/>
          <w:bCs/>
          <w:sz w:val="16"/>
          <w:szCs w:val="16"/>
        </w:rPr>
        <w:t xml:space="preserve"> (</w:t>
      </w:r>
      <w:r w:rsidRPr="000B2ACC">
        <w:rPr>
          <w:rFonts w:ascii="Arial Narrow" w:eastAsia="Arial Narrow" w:hAnsi="Arial Narrow" w:cs="Arial Narrow"/>
          <w:b/>
          <w:bCs/>
          <w:sz w:val="16"/>
          <w:szCs w:val="16"/>
        </w:rPr>
        <w:t>turpinājums</w:t>
      </w:r>
      <w:r w:rsidRPr="000B2ACC">
        <w:rPr>
          <w:rFonts w:ascii="Arial Narrow" w:eastAsia="Arial Narrow" w:hAnsi="Arial Narrow" w:cs="Arial Narrow"/>
          <w:b/>
          <w:bCs/>
          <w:sz w:val="16"/>
          <w:szCs w:val="16"/>
        </w:rPr>
        <w:t>)</w:t>
      </w:r>
    </w:p>
    <w:p w:rsidR="000B2ACC" w:rsidRPr="000B2ACC" w:rsidP="000B2ACC" w14:paraId="4CB70A51" w14:textId="77777777">
      <w:pPr>
        <w:spacing w:after="0" w:line="360" w:lineRule="auto"/>
        <w:jc w:val="both"/>
        <w:rPr>
          <w:rFonts w:ascii="Arial Narrow" w:eastAsia="Arial Narrow" w:hAnsi="Arial Narrow" w:cs="Arial Narrow"/>
          <w:b/>
          <w:bCs/>
          <w:sz w:val="16"/>
          <w:szCs w:val="16"/>
        </w:rPr>
      </w:pPr>
    </w:p>
    <w:p w:rsidR="00714703" w:rsidP="000B2ACC" w14:textId="0E3C0DE9">
      <w:pPr>
        <w:spacing w:after="0" w:line="360" w:lineRule="auto"/>
        <w:jc w:val="both"/>
        <w:rPr>
          <w:rFonts w:ascii="Arial Narrow" w:eastAsia="Arial Narrow" w:hAnsi="Arial Narrow" w:cs="Arial Narrow"/>
          <w:sz w:val="16"/>
          <w:szCs w:val="16"/>
        </w:rPr>
      </w:pPr>
      <w:r w:rsidRPr="000B2ACC">
        <w:rPr>
          <w:rFonts w:ascii="Arial Narrow" w:eastAsia="Arial Narrow" w:hAnsi="Arial Narrow" w:cs="Arial Narrow"/>
          <w:sz w:val="16"/>
          <w:szCs w:val="16"/>
        </w:rPr>
        <w:t>Tabulā</w:t>
      </w:r>
      <w:r w:rsidRPr="000B2ACC">
        <w:rPr>
          <w:rFonts w:ascii="Arial Narrow" w:eastAsia="Arial Narrow" w:hAnsi="Arial Narrow" w:cs="Arial Narrow"/>
          <w:sz w:val="16"/>
          <w:szCs w:val="16"/>
        </w:rPr>
        <w:t xml:space="preserve"> </w:t>
      </w:r>
      <w:r w:rsidRPr="000B2ACC">
        <w:rPr>
          <w:rFonts w:ascii="Arial Narrow" w:eastAsia="Arial Narrow" w:hAnsi="Arial Narrow" w:cs="Arial Narrow"/>
          <w:sz w:val="16"/>
          <w:szCs w:val="16"/>
        </w:rPr>
        <w:t>ir</w:t>
      </w:r>
      <w:r w:rsidRPr="000B2ACC">
        <w:rPr>
          <w:rFonts w:ascii="Arial Narrow" w:eastAsia="Arial Narrow" w:hAnsi="Arial Narrow" w:cs="Arial Narrow"/>
          <w:sz w:val="16"/>
          <w:szCs w:val="16"/>
        </w:rPr>
        <w:t xml:space="preserve"> </w:t>
      </w:r>
      <w:r w:rsidRPr="000B2ACC">
        <w:rPr>
          <w:rFonts w:ascii="Arial Narrow" w:eastAsia="Arial Narrow" w:hAnsi="Arial Narrow" w:cs="Arial Narrow"/>
          <w:sz w:val="16"/>
          <w:szCs w:val="16"/>
        </w:rPr>
        <w:t>uzrādīta</w:t>
      </w:r>
      <w:r w:rsidRPr="000B2ACC">
        <w:rPr>
          <w:rFonts w:ascii="Arial Narrow" w:eastAsia="Arial Narrow" w:hAnsi="Arial Narrow" w:cs="Arial Narrow"/>
          <w:sz w:val="16"/>
          <w:szCs w:val="16"/>
        </w:rPr>
        <w:t xml:space="preserve"> </w:t>
      </w:r>
      <w:r w:rsidRPr="000B2ACC">
        <w:rPr>
          <w:rFonts w:ascii="Arial Narrow" w:eastAsia="Arial Narrow" w:hAnsi="Arial Narrow" w:cs="Arial Narrow"/>
          <w:sz w:val="16"/>
          <w:szCs w:val="16"/>
        </w:rPr>
        <w:t>aktīvu</w:t>
      </w:r>
      <w:r w:rsidRPr="000B2ACC">
        <w:rPr>
          <w:rFonts w:ascii="Arial Narrow" w:eastAsia="Arial Narrow" w:hAnsi="Arial Narrow" w:cs="Arial Narrow"/>
          <w:sz w:val="16"/>
          <w:szCs w:val="16"/>
        </w:rPr>
        <w:t xml:space="preserve"> </w:t>
      </w:r>
      <w:r w:rsidRPr="000B2ACC">
        <w:rPr>
          <w:rFonts w:ascii="Arial Narrow" w:eastAsia="Arial Narrow" w:hAnsi="Arial Narrow" w:cs="Arial Narrow"/>
          <w:sz w:val="16"/>
          <w:szCs w:val="16"/>
        </w:rPr>
        <w:t>analīze</w:t>
      </w:r>
      <w:r w:rsidRPr="000B2ACC">
        <w:rPr>
          <w:rFonts w:ascii="Arial Narrow" w:eastAsia="Arial Narrow" w:hAnsi="Arial Narrow" w:cs="Arial Narrow"/>
          <w:sz w:val="16"/>
          <w:szCs w:val="16"/>
        </w:rPr>
        <w:t xml:space="preserve"> </w:t>
      </w:r>
      <w:r w:rsidRPr="000B2ACC">
        <w:rPr>
          <w:rFonts w:ascii="Arial Narrow" w:eastAsia="Arial Narrow" w:hAnsi="Arial Narrow" w:cs="Arial Narrow"/>
          <w:sz w:val="16"/>
          <w:szCs w:val="16"/>
        </w:rPr>
        <w:t>pa</w:t>
      </w:r>
      <w:r w:rsidRPr="000B2ACC">
        <w:rPr>
          <w:rFonts w:ascii="Arial Narrow" w:eastAsia="Arial Narrow" w:hAnsi="Arial Narrow" w:cs="Arial Narrow"/>
          <w:sz w:val="16"/>
          <w:szCs w:val="16"/>
        </w:rPr>
        <w:t xml:space="preserve"> </w:t>
      </w:r>
      <w:r w:rsidRPr="000B2ACC">
        <w:rPr>
          <w:rFonts w:ascii="Arial Narrow" w:eastAsia="Arial Narrow" w:hAnsi="Arial Narrow" w:cs="Arial Narrow"/>
          <w:sz w:val="16"/>
          <w:szCs w:val="16"/>
        </w:rPr>
        <w:t>patiesās</w:t>
      </w:r>
      <w:r w:rsidRPr="000B2ACC">
        <w:rPr>
          <w:rFonts w:ascii="Arial Narrow" w:eastAsia="Arial Narrow" w:hAnsi="Arial Narrow" w:cs="Arial Narrow"/>
          <w:sz w:val="16"/>
          <w:szCs w:val="16"/>
        </w:rPr>
        <w:t xml:space="preserve"> </w:t>
      </w:r>
      <w:r w:rsidRPr="000B2ACC">
        <w:rPr>
          <w:rFonts w:ascii="Arial Narrow" w:eastAsia="Arial Narrow" w:hAnsi="Arial Narrow" w:cs="Arial Narrow"/>
          <w:sz w:val="16"/>
          <w:szCs w:val="16"/>
        </w:rPr>
        <w:t>vērtības</w:t>
      </w:r>
      <w:r w:rsidRPr="000B2ACC">
        <w:rPr>
          <w:rFonts w:ascii="Arial Narrow" w:eastAsia="Arial Narrow" w:hAnsi="Arial Narrow" w:cs="Arial Narrow"/>
          <w:sz w:val="16"/>
          <w:szCs w:val="16"/>
        </w:rPr>
        <w:t xml:space="preserve"> </w:t>
      </w:r>
      <w:r w:rsidRPr="000B2ACC">
        <w:rPr>
          <w:rFonts w:ascii="Arial Narrow" w:eastAsia="Arial Narrow" w:hAnsi="Arial Narrow" w:cs="Arial Narrow"/>
          <w:sz w:val="16"/>
          <w:szCs w:val="16"/>
        </w:rPr>
        <w:t>kategorijām</w:t>
      </w:r>
      <w:r w:rsidRPr="000B2ACC">
        <w:rPr>
          <w:rFonts w:ascii="Arial Narrow" w:eastAsia="Arial Narrow" w:hAnsi="Arial Narrow" w:cs="Arial Narrow"/>
          <w:sz w:val="16"/>
          <w:szCs w:val="16"/>
        </w:rPr>
        <w:t xml:space="preserve"> 31.12.202</w:t>
      </w:r>
      <w:r>
        <w:rPr>
          <w:rFonts w:ascii="Arial Narrow" w:eastAsia="Arial Narrow" w:hAnsi="Arial Narrow" w:cs="Arial Narrow"/>
          <w:sz w:val="16"/>
          <w:szCs w:val="16"/>
        </w:rPr>
        <w:t>1</w:t>
      </w:r>
      <w:r w:rsidRPr="000B2ACC">
        <w:rPr>
          <w:rFonts w:ascii="Arial Narrow" w:eastAsia="Arial Narrow" w:hAnsi="Arial Narrow" w:cs="Arial Narrow"/>
          <w:sz w:val="16"/>
          <w:szCs w:val="16"/>
        </w:rPr>
        <w:t>. (</w:t>
      </w:r>
      <w:r w:rsidRPr="000B2ACC">
        <w:rPr>
          <w:rFonts w:ascii="Arial Narrow" w:eastAsia="Arial Narrow" w:hAnsi="Arial Narrow" w:cs="Arial Narrow"/>
          <w:sz w:val="16"/>
          <w:szCs w:val="16"/>
        </w:rPr>
        <w:t>balstoties</w:t>
      </w:r>
      <w:r w:rsidRPr="000B2ACC">
        <w:rPr>
          <w:rFonts w:ascii="Arial Narrow" w:eastAsia="Arial Narrow" w:hAnsi="Arial Narrow" w:cs="Arial Narrow"/>
          <w:sz w:val="16"/>
          <w:szCs w:val="16"/>
        </w:rPr>
        <w:t xml:space="preserve"> </w:t>
      </w:r>
      <w:r w:rsidRPr="000B2ACC">
        <w:rPr>
          <w:rFonts w:ascii="Arial Narrow" w:eastAsia="Arial Narrow" w:hAnsi="Arial Narrow" w:cs="Arial Narrow"/>
          <w:sz w:val="16"/>
          <w:szCs w:val="16"/>
        </w:rPr>
        <w:t>uz</w:t>
      </w:r>
      <w:r w:rsidRPr="000B2ACC">
        <w:rPr>
          <w:rFonts w:ascii="Arial Narrow" w:eastAsia="Arial Narrow" w:hAnsi="Arial Narrow" w:cs="Arial Narrow"/>
          <w:sz w:val="16"/>
          <w:szCs w:val="16"/>
        </w:rPr>
        <w:t xml:space="preserve"> </w:t>
      </w:r>
      <w:r w:rsidRPr="000B2ACC">
        <w:rPr>
          <w:rFonts w:ascii="Arial Narrow" w:eastAsia="Arial Narrow" w:hAnsi="Arial Narrow" w:cs="Arial Narrow"/>
          <w:sz w:val="16"/>
          <w:szCs w:val="16"/>
        </w:rPr>
        <w:t>uzskaites</w:t>
      </w:r>
      <w:r w:rsidRPr="000B2ACC">
        <w:rPr>
          <w:rFonts w:ascii="Arial Narrow" w:eastAsia="Arial Narrow" w:hAnsi="Arial Narrow" w:cs="Arial Narrow"/>
          <w:sz w:val="16"/>
          <w:szCs w:val="16"/>
        </w:rPr>
        <w:t xml:space="preserve"> </w:t>
      </w:r>
      <w:r w:rsidRPr="000B2ACC">
        <w:rPr>
          <w:rFonts w:ascii="Arial Narrow" w:eastAsia="Arial Narrow" w:hAnsi="Arial Narrow" w:cs="Arial Narrow"/>
          <w:sz w:val="16"/>
          <w:szCs w:val="16"/>
        </w:rPr>
        <w:t>vērtībām</w:t>
      </w:r>
      <w:r w:rsidRPr="000B2ACC">
        <w:rPr>
          <w:rFonts w:ascii="Arial Narrow" w:eastAsia="Arial Narrow" w:hAnsi="Arial Narrow" w:cs="Arial Narrow"/>
          <w:sz w:val="16"/>
          <w:szCs w:val="16"/>
        </w:rPr>
        <w:t>):</w:t>
      </w:r>
      <w:r w:rsidRPr="000B2ACC">
        <w:rPr>
          <w:rFonts w:ascii="Arial Narrow" w:eastAsia="Arial Narrow" w:hAnsi="Arial Narrow" w:cs="Arial Narrow"/>
          <w:sz w:val="16"/>
          <w:szCs w:val="16"/>
        </w:rPr>
        <w:tab/>
      </w:r>
    </w:p>
    <w:p w:rsidR="00417ABE" w:rsidRPr="00417ABE" w:rsidP="00417ABE" w14:paraId="70498471" w14:textId="4F6AD64A">
      <w:pPr>
        <w:rPr>
          <w:rFonts w:ascii="Arial Narrow" w:eastAsia="Arial Narrow" w:hAnsi="Arial Narrow" w:cs="Arial Narrow"/>
          <w:sz w:val="16"/>
          <w:szCs w:val="16"/>
        </w:rPr>
      </w:pPr>
      <w:r>
        <w:t xml:space="preserve"> </w:t>
      </w:r>
    </w:p>
    <w:p>
      <w:pPr>
        <w:spacing w:before="0" w:beforeAutospacing="0" w:after="0" w:afterAutospacing="0" w:line="240" w:lineRule="auto"/>
        <w:rPr>
          <w:rFonts w:ascii="Arial Narrow" w:eastAsia="Arial Narrow" w:hAnsi="Arial Narrow" w:cs="Arial Narrow"/>
          <w:sz w:val="16"/>
        </w:rPr>
      </w:pPr>
    </w:p>
    <w:tbl>
      <w:tblPr>
        <w:tblStyle w:val="CDMRange1"/>
        <w:tblW w:w="9600" w:type="dxa"/>
        <w:tblLayout w:type="fixed"/>
        <w:tblLook w:val="0600"/>
      </w:tblPr>
      <w:tblGrid>
        <w:gridCol w:w="4200"/>
        <w:gridCol w:w="900"/>
        <w:gridCol w:w="900"/>
        <w:gridCol w:w="900"/>
        <w:gridCol w:w="900"/>
        <w:gridCol w:w="900"/>
        <w:gridCol w:w="900"/>
      </w:tblGrid>
      <w:tr>
        <w:tblPrEx>
          <w:tblW w:w="9600" w:type="dxa"/>
          <w:tblLayout w:type="fixed"/>
          <w:tblLook w:val="0600"/>
        </w:tblPrEx>
        <w:trPr>
          <w:trHeigh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kategorija</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kategorija</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 kategorija</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kategorija</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kategorija</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 kategorija</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Patiesajā vērtībā novērtēti aktīvi</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Aizdevumi saistītajām pusēm </w:t>
            </w:r>
          </w:p>
        </w:tc>
        <w:tc>
          <w:tcPr>
            <w:tcW w:w="90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35,101,118</w:t>
            </w:r>
          </w:p>
        </w:tc>
        <w:tc>
          <w:tcPr>
            <w:tcW w:w="90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28,332,765</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No finanšu nomas izrietošas prasības </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2,467,177</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2,872,116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Kredīti un izsniegtie avansi</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3,411,220</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9,111,131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Ieguldījumi parāda vērtspapīros</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609,000</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Saistīto pušu debitoru parādi</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1,380,291</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542,937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Pircēju un pasūtītāju parādi</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326,297</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420,792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Citi debitori</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40,639</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293,961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Nauda un naudas ekvivalenti</w:t>
            </w:r>
          </w:p>
        </w:tc>
        <w:tc>
          <w:tcPr>
            <w:tcW w:w="900" w:type="dxa"/>
            <w:tcBorders>
              <w:top w:val="nil"/>
              <w:left w:val="nil"/>
              <w:bottom w:val="single" w:sz="4" w:space="0" w:color="000000"/>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403,812</w:t>
            </w:r>
          </w:p>
        </w:tc>
        <w:tc>
          <w:tcPr>
            <w:tcW w:w="900" w:type="dxa"/>
            <w:tcBorders>
              <w:top w:val="nil"/>
              <w:left w:val="nil"/>
              <w:bottom w:val="single" w:sz="4" w:space="0" w:color="000000"/>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160,318</w:t>
            </w:r>
          </w:p>
        </w:tc>
        <w:tc>
          <w:tcPr>
            <w:tcW w:w="900" w:type="dxa"/>
            <w:tcBorders>
              <w:top w:val="nil"/>
              <w:left w:val="nil"/>
              <w:bottom w:val="single" w:sz="4" w:space="0" w:color="000000"/>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single" w:sz="4" w:space="0" w:color="000000"/>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patiesajā vērtībā novērtēti aktīvi</w:t>
            </w:r>
          </w:p>
        </w:tc>
        <w:tc>
          <w:tcPr>
            <w:tcW w:w="900" w:type="dxa"/>
            <w:tcBorders>
              <w:top w:val="single" w:sz="4" w:space="0" w:color="000000"/>
              <w:left w:val="nil"/>
              <w:bottom w:val="single" w:sz="4" w:space="0" w:color="000000"/>
              <w:right w:val="nil"/>
              <w:tl2br w:val="nil"/>
              <w:tr2bl w:val="nil"/>
            </w:tcBorders>
            <w:shd w:val="clear" w:color="FFFFFF" w:fill="DEEBF7"/>
            <w:noWrap w:val="0"/>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403,812</w:t>
            </w:r>
          </w:p>
        </w:tc>
        <w:tc>
          <w:tcPr>
            <w:tcW w:w="900" w:type="dxa"/>
            <w:tcBorders>
              <w:top w:val="single" w:sz="4" w:space="0" w:color="000000"/>
              <w:left w:val="nil"/>
              <w:bottom w:val="single" w:sz="4" w:space="0" w:color="000000"/>
              <w:right w:val="nil"/>
              <w:tl2br w:val="nil"/>
              <w:tr2bl w:val="nil"/>
            </w:tcBorders>
            <w:shd w:val="clear" w:color="FFFFFF" w:fill="DEEBF7"/>
            <w:noWrap w:val="0"/>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900" w:type="dxa"/>
            <w:tcBorders>
              <w:top w:val="single" w:sz="4" w:space="0" w:color="000000"/>
              <w:left w:val="nil"/>
              <w:bottom w:val="single" w:sz="4" w:space="0" w:color="000000"/>
              <w:right w:val="nil"/>
              <w:tl2br w:val="nil"/>
              <w:tr2bl w:val="nil"/>
            </w:tcBorders>
            <w:shd w:val="clear" w:color="FFFFFF" w:fill="DEEBF7"/>
            <w:noWrap w:val="0"/>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42,726,742</w:t>
            </w:r>
          </w:p>
        </w:tc>
        <w:tc>
          <w:tcPr>
            <w:tcW w:w="900" w:type="dxa"/>
            <w:tcBorders>
              <w:top w:val="single" w:sz="4" w:space="0" w:color="000000"/>
              <w:left w:val="nil"/>
              <w:bottom w:val="single" w:sz="4" w:space="0" w:color="000000"/>
              <w:right w:val="nil"/>
              <w:tl2br w:val="nil"/>
              <w:tr2bl w:val="nil"/>
            </w:tcBorders>
            <w:shd w:val="clear" w:color="FFFFFF" w:fill="DEEBF7"/>
            <w:noWrap w:val="0"/>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160,318</w:t>
            </w:r>
          </w:p>
        </w:tc>
        <w:tc>
          <w:tcPr>
            <w:tcW w:w="900" w:type="dxa"/>
            <w:tcBorders>
              <w:top w:val="single" w:sz="4" w:space="0" w:color="000000"/>
              <w:left w:val="nil"/>
              <w:bottom w:val="single" w:sz="4" w:space="0" w:color="000000"/>
              <w:right w:val="nil"/>
              <w:tl2br w:val="nil"/>
              <w:tr2bl w:val="nil"/>
            </w:tcBorders>
            <w:shd w:val="clear" w:color="FFFFFF" w:fill="DEEBF7"/>
            <w:noWrap w:val="0"/>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609,000</w:t>
            </w:r>
          </w:p>
        </w:tc>
        <w:tc>
          <w:tcPr>
            <w:tcW w:w="900" w:type="dxa"/>
            <w:tcBorders>
              <w:top w:val="single" w:sz="4" w:space="0" w:color="000000"/>
              <w:left w:val="nil"/>
              <w:bottom w:val="single" w:sz="4" w:space="0" w:color="000000"/>
              <w:right w:val="nil"/>
              <w:tl2br w:val="nil"/>
              <w:tr2bl w:val="nil"/>
            </w:tcBorders>
            <w:shd w:val="clear" w:color="FFFFFF" w:fill="DEEBF7"/>
            <w:noWrap w:val="0"/>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41,573,702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kategorija</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kategorija</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 kategorija</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 kategorija</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 kategorija</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 kategorija</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31.12.2021.</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c>
          <w:tcPr>
            <w:tcW w:w="9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31.12.2020.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Patiesajā vērtībā novērtētas saistības</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Īstermiņa aizņēmumi pret obligācijām </w:t>
            </w:r>
          </w:p>
        </w:tc>
        <w:tc>
          <w:tcPr>
            <w:tcW w:w="900" w:type="dxa"/>
            <w:tcBorders>
              <w:top w:val="single" w:sz="4" w:space="0" w:color="000000"/>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29,205,008</w:t>
            </w:r>
          </w:p>
        </w:tc>
        <w:tc>
          <w:tcPr>
            <w:tcW w:w="900" w:type="dxa"/>
            <w:tcBorders>
              <w:top w:val="single" w:sz="4" w:space="0" w:color="000000"/>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single" w:sz="4" w:space="0" w:color="000000"/>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24,480,115</w:t>
            </w:r>
          </w:p>
        </w:tc>
        <w:tc>
          <w:tcPr>
            <w:tcW w:w="900" w:type="dxa"/>
            <w:tcBorders>
              <w:top w:val="single" w:sz="4" w:space="0" w:color="000000"/>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Savstarpējās kreditēšanas platformās piesaistīts finansējums</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5,795,768</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13,585,370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0"/>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Aizņēmumi no bankām</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1,689,826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0"/>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Aizņēmumi no saistītajiem uzņēmumiem</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1,705,000</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Parādi piegādātājiem un darbuzņēmējiem </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162,974</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128,887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Pārējie kreditori</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1,378,862</w:t>
            </w:r>
          </w:p>
        </w:tc>
        <w:tc>
          <w:tcPr>
            <w:tcW w:w="900" w:type="dxa"/>
            <w:tcBorders>
              <w:top w:val="nil"/>
              <w:left w:val="nil"/>
              <w:bottom w:val="single" w:sz="4" w:space="0" w:color="000000"/>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val="0"/>
            <w:tcMar>
              <w:left w:w="40" w:type="dxa"/>
              <w:right w:w="85"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1,272,130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4200" w:type="dxa"/>
            <w:tcBorders>
              <w:top w:val="single" w:sz="4" w:space="0" w:color="000000"/>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 patiesajā vērtībā novērtētas saistības</w:t>
            </w:r>
          </w:p>
        </w:tc>
        <w:tc>
          <w:tcPr>
            <w:tcW w:w="900" w:type="dxa"/>
            <w:tcBorders>
              <w:top w:val="single" w:sz="4" w:space="0" w:color="000000"/>
              <w:left w:val="nil"/>
              <w:bottom w:val="single" w:sz="4" w:space="0" w:color="000000"/>
              <w:right w:val="nil"/>
              <w:tl2br w:val="nil"/>
              <w:tr2bl w:val="nil"/>
            </w:tcBorders>
            <w:shd w:val="clear" w:color="FFFFFF" w:fill="DEEBF7"/>
            <w:noWrap w:val="0"/>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900" w:type="dxa"/>
            <w:tcBorders>
              <w:top w:val="single" w:sz="4" w:space="0" w:color="000000"/>
              <w:left w:val="nil"/>
              <w:bottom w:val="single" w:sz="4" w:space="0" w:color="000000"/>
              <w:right w:val="nil"/>
              <w:tl2br w:val="nil"/>
              <w:tr2bl w:val="nil"/>
            </w:tcBorders>
            <w:shd w:val="clear" w:color="FFFFFF" w:fill="DEEBF7"/>
            <w:noWrap w:val="0"/>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29,205,008</w:t>
            </w:r>
          </w:p>
        </w:tc>
        <w:tc>
          <w:tcPr>
            <w:tcW w:w="900" w:type="dxa"/>
            <w:tcBorders>
              <w:top w:val="single" w:sz="4" w:space="0" w:color="000000"/>
              <w:left w:val="nil"/>
              <w:bottom w:val="single" w:sz="4" w:space="0" w:color="000000"/>
              <w:right w:val="nil"/>
              <w:tl2br w:val="nil"/>
              <w:tr2bl w:val="nil"/>
            </w:tcBorders>
            <w:shd w:val="clear" w:color="FFFFFF" w:fill="DEEBF7"/>
            <w:noWrap w:val="0"/>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9,042,604</w:t>
            </w:r>
          </w:p>
        </w:tc>
        <w:tc>
          <w:tcPr>
            <w:tcW w:w="900" w:type="dxa"/>
            <w:tcBorders>
              <w:top w:val="single" w:sz="4" w:space="0" w:color="000000"/>
              <w:left w:val="nil"/>
              <w:bottom w:val="single" w:sz="4" w:space="0" w:color="000000"/>
              <w:right w:val="nil"/>
              <w:tl2br w:val="nil"/>
              <w:tr2bl w:val="nil"/>
            </w:tcBorders>
            <w:shd w:val="clear" w:color="FFFFFF" w:fill="DEEBF7"/>
            <w:noWrap w:val="0"/>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w:t>
            </w:r>
          </w:p>
        </w:tc>
        <w:tc>
          <w:tcPr>
            <w:tcW w:w="900" w:type="dxa"/>
            <w:tcBorders>
              <w:top w:val="single" w:sz="4" w:space="0" w:color="000000"/>
              <w:left w:val="nil"/>
              <w:bottom w:val="single" w:sz="4" w:space="0" w:color="000000"/>
              <w:right w:val="nil"/>
              <w:tl2br w:val="nil"/>
              <w:tr2bl w:val="nil"/>
            </w:tcBorders>
            <w:shd w:val="clear" w:color="FFFFFF" w:fill="DEEBF7"/>
            <w:noWrap w:val="0"/>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24,480,115</w:t>
            </w:r>
          </w:p>
        </w:tc>
        <w:tc>
          <w:tcPr>
            <w:tcW w:w="900" w:type="dxa"/>
            <w:tcBorders>
              <w:top w:val="single" w:sz="4" w:space="0" w:color="000000"/>
              <w:left w:val="nil"/>
              <w:bottom w:val="single" w:sz="4" w:space="0" w:color="000000"/>
              <w:right w:val="nil"/>
              <w:tl2br w:val="nil"/>
              <w:tr2bl w:val="nil"/>
            </w:tcBorders>
            <w:shd w:val="clear" w:color="FFFFFF" w:fill="DEEBF7"/>
            <w:noWrap w:val="0"/>
            <w:tcMar>
              <w:left w:w="40" w:type="dxa"/>
              <w:right w:w="10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16,676,213</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42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bl>
    <w:p/>
    <w:p w:rsidR="004D2CCE" w:rsidRPr="00E33134" w:rsidP="00E33134" w14:paraId="3407C7C5" w14:textId="0FAD417F">
      <w:pPr>
        <w:spacing w:after="0" w:line="360" w:lineRule="auto"/>
        <w:jc w:val="both"/>
        <w:rPr>
          <w:rFonts w:ascii="Arial Narrow" w:eastAsia="Arial Narrow" w:hAnsi="Arial Narrow" w:cs="Arial Narrow"/>
          <w:b/>
          <w:bCs/>
          <w:sz w:val="16"/>
          <w:szCs w:val="16"/>
        </w:rPr>
      </w:pPr>
      <w:bookmarkStart w:id="1238" w:name="RG_MARKER_6674"/>
      <w:bookmarkStart w:id="1239" w:name="RG_MARKER_6459"/>
      <w:r w:rsidRPr="00202863">
        <w:rPr>
          <w:rFonts w:ascii="Arial Narrow" w:eastAsia="Arial Narrow" w:hAnsi="Arial Narrow" w:cs="Arial Narrow"/>
          <w:b/>
          <w:bCs/>
          <w:sz w:val="16"/>
          <w:szCs w:val="16"/>
        </w:rPr>
        <w:t>42</w:t>
      </w:r>
      <w:bookmarkEnd w:id="1239"/>
      <w:bookmarkEnd w:id="1238"/>
      <w:r w:rsidRPr="00E33134">
        <w:rPr>
          <w:rFonts w:ascii="Arial Narrow" w:eastAsia="Arial Narrow" w:hAnsi="Arial Narrow" w:cs="Arial Narrow"/>
          <w:b/>
          <w:bCs/>
          <w:sz w:val="16"/>
          <w:szCs w:val="16"/>
        </w:rPr>
        <w:t>. Segmentu informācija</w:t>
      </w:r>
    </w:p>
    <w:p w:rsidR="00E33134" w:rsidP="00E33134" w14:paraId="63684B6F" w14:textId="77777777">
      <w:pPr>
        <w:spacing w:after="0" w:line="360" w:lineRule="auto"/>
        <w:jc w:val="both"/>
        <w:rPr>
          <w:rFonts w:ascii="Arial Narrow" w:eastAsia="Arial Narrow" w:hAnsi="Arial Narrow" w:cs="Arial Narrow"/>
          <w:sz w:val="16"/>
          <w:szCs w:val="16"/>
        </w:rPr>
      </w:pPr>
    </w:p>
    <w:p w:rsidR="004D2CCE" w:rsidRPr="00E33134" w:rsidP="00E33134" w14:paraId="2987A9E2" w14:textId="21F8DDF9">
      <w:pPr>
        <w:spacing w:after="0" w:line="360" w:lineRule="auto"/>
        <w:jc w:val="both"/>
        <w:rPr>
          <w:rFonts w:ascii="Arial Narrow" w:eastAsia="Arial Narrow" w:hAnsi="Arial Narrow" w:cs="Arial Narrow"/>
          <w:sz w:val="16"/>
          <w:szCs w:val="16"/>
        </w:rPr>
      </w:pPr>
      <w:r w:rsidRPr="00E33134">
        <w:rPr>
          <w:rFonts w:ascii="Arial Narrow" w:eastAsia="Arial Narrow" w:hAnsi="Arial Narrow" w:cs="Arial Narrow"/>
          <w:sz w:val="16"/>
          <w:szCs w:val="16"/>
        </w:rPr>
        <w:t>Pārvaldības nolūkā Koncerns ir</w:t>
      </w:r>
      <w:r w:rsidRPr="00E33134">
        <w:rPr>
          <w:rFonts w:ascii="Arial Narrow" w:eastAsia="Arial Narrow" w:hAnsi="Arial Narrow" w:cs="Arial Narrow"/>
          <w:sz w:val="16"/>
          <w:szCs w:val="16"/>
        </w:rPr>
        <w:t xml:space="preserve"> strukturēts biznesa vienībās, balstoties uz to saimnieciskās darbības raksturu. Koncerns veic divu veidu saimniecisko darbību:</w:t>
      </w:r>
    </w:p>
    <w:p w:rsidR="004D2CCE" w:rsidRPr="00E33134" w:rsidP="00E33134" w14:paraId="548D0A5C" w14:textId="00DEF373">
      <w:pPr>
        <w:spacing w:after="0" w:line="360" w:lineRule="auto"/>
        <w:jc w:val="both"/>
        <w:rPr>
          <w:rFonts w:ascii="Arial Narrow" w:eastAsia="Arial Narrow" w:hAnsi="Arial Narrow" w:cs="Arial Narrow"/>
          <w:sz w:val="16"/>
          <w:szCs w:val="16"/>
        </w:rPr>
      </w:pPr>
      <w:r w:rsidRPr="00E33134">
        <w:rPr>
          <w:rFonts w:ascii="Arial Narrow" w:eastAsia="Arial Narrow" w:hAnsi="Arial Narrow" w:cs="Arial Narrow"/>
          <w:sz w:val="16"/>
          <w:szCs w:val="16"/>
        </w:rPr>
        <w:t>1) Finansēšanas darbība. Šis ir būtisks Koncerna darbības segments, kuru pārstāv sabiedrības, kuras veic finansēšanas darbību;</w:t>
      </w:r>
    </w:p>
    <w:p w:rsidR="004D2CCE" w:rsidRPr="00E33134" w:rsidP="00E33134" w14:paraId="41D33B4C" w14:textId="042E2938">
      <w:pPr>
        <w:spacing w:after="0" w:line="360" w:lineRule="auto"/>
        <w:jc w:val="both"/>
        <w:rPr>
          <w:rFonts w:ascii="Arial Narrow" w:eastAsia="Arial Narrow" w:hAnsi="Arial Narrow" w:cs="Arial Narrow"/>
          <w:sz w:val="16"/>
          <w:szCs w:val="16"/>
        </w:rPr>
      </w:pPr>
      <w:r w:rsidRPr="00E33134">
        <w:rPr>
          <w:rFonts w:ascii="Arial Narrow" w:eastAsia="Arial Narrow" w:hAnsi="Arial Narrow" w:cs="Arial Narrow"/>
          <w:sz w:val="16"/>
          <w:szCs w:val="16"/>
        </w:rPr>
        <w:t>2</w:t>
      </w:r>
      <w:r w:rsidRPr="00E33134">
        <w:rPr>
          <w:rFonts w:ascii="Arial Narrow" w:eastAsia="Arial Narrow" w:hAnsi="Arial Narrow" w:cs="Arial Narrow"/>
          <w:sz w:val="16"/>
          <w:szCs w:val="16"/>
        </w:rPr>
        <w:t>) Nomas darbība. Šis ir būtisks darbības segments, kuru pārstāv meitas sabiedrība, kas sniedz nomas pakalpojumus.</w:t>
      </w:r>
    </w:p>
    <w:p w:rsidR="00E33134" w:rsidP="00E33134" w14:paraId="575621B6" w14:textId="77777777">
      <w:pPr>
        <w:spacing w:after="0" w:line="360" w:lineRule="auto"/>
        <w:jc w:val="both"/>
        <w:rPr>
          <w:rFonts w:ascii="Arial Narrow" w:eastAsia="Arial Narrow" w:hAnsi="Arial Narrow" w:cs="Arial Narrow"/>
          <w:sz w:val="16"/>
          <w:szCs w:val="16"/>
        </w:rPr>
      </w:pPr>
    </w:p>
    <w:p w:rsidR="004D2CCE" w:rsidRPr="00E33134" w:rsidP="00E33134" w14:paraId="5F969E36" w14:textId="3322C115">
      <w:pPr>
        <w:spacing w:after="0" w:line="360" w:lineRule="auto"/>
        <w:jc w:val="both"/>
        <w:rPr>
          <w:rFonts w:ascii="Arial Narrow" w:eastAsia="Arial Narrow" w:hAnsi="Arial Narrow" w:cs="Arial Narrow"/>
          <w:sz w:val="16"/>
          <w:szCs w:val="16"/>
        </w:rPr>
      </w:pPr>
      <w:r w:rsidRPr="00E33134">
        <w:rPr>
          <w:rFonts w:ascii="Arial Narrow" w:eastAsia="Arial Narrow" w:hAnsi="Arial Narrow" w:cs="Arial Narrow"/>
          <w:sz w:val="16"/>
          <w:szCs w:val="16"/>
        </w:rPr>
        <w:t>Lai pieņemtu lēmumus par resursu piešķiršanu un izvērtētu darbības rezultātus, vadības uzrauga galvenokārt šādus darbības segmentu rādītājus:</w:t>
      </w:r>
      <w:r w:rsidRPr="00E33134">
        <w:rPr>
          <w:rFonts w:ascii="Arial Narrow" w:eastAsia="Arial Narrow" w:hAnsi="Arial Narrow" w:cs="Arial Narrow"/>
          <w:sz w:val="16"/>
          <w:szCs w:val="16"/>
        </w:rPr>
        <w:t xml:space="preserve"> procentu ieņēmumi, procentu izdevumi, vērtības samazinājums, pārējie saimnieciskās darbības ienākumi, pārējie saimnieciskās darbības izdevumi, aktīvu kopsumma un saistību kopsumma.</w:t>
      </w:r>
    </w:p>
    <w:p w:rsidR="004D2CCE" w:rsidRPr="00E33134" w:rsidP="00E33134" w14:paraId="30FD42F1" w14:textId="0CE49DD9">
      <w:pPr>
        <w:spacing w:after="0" w:line="360" w:lineRule="auto"/>
        <w:jc w:val="both"/>
        <w:rPr>
          <w:rFonts w:ascii="Arial Narrow" w:eastAsia="Arial Narrow" w:hAnsi="Arial Narrow" w:cs="Arial Narrow"/>
          <w:sz w:val="16"/>
          <w:szCs w:val="16"/>
        </w:rPr>
      </w:pPr>
      <w:r w:rsidRPr="00E33134">
        <w:rPr>
          <w:rFonts w:ascii="Arial Narrow" w:eastAsia="Arial Narrow" w:hAnsi="Arial Narrow" w:cs="Arial Narrow"/>
          <w:sz w:val="16"/>
          <w:szCs w:val="16"/>
        </w:rPr>
        <w:t>Koncerna galvenais lēmumu pieņēmējs ir Koncerna izpilddirektors.</w:t>
      </w:r>
    </w:p>
    <w:p w:rsidR="00E33134" w:rsidP="00E33134" w14:paraId="383E7371" w14:textId="77777777">
      <w:pPr>
        <w:spacing w:after="0" w:line="360" w:lineRule="auto"/>
        <w:jc w:val="both"/>
        <w:rPr>
          <w:rFonts w:ascii="Arial Narrow" w:eastAsia="Arial Narrow" w:hAnsi="Arial Narrow" w:cs="Arial Narrow"/>
          <w:sz w:val="16"/>
          <w:szCs w:val="16"/>
        </w:rPr>
      </w:pPr>
    </w:p>
    <w:p w:rsidR="004D2CCE" w:rsidRPr="00E33134" w:rsidP="00E33134" w14:paraId="7EFDEB51" w14:textId="1E583037">
      <w:pPr>
        <w:spacing w:after="0" w:line="360" w:lineRule="auto"/>
        <w:jc w:val="both"/>
        <w:rPr>
          <w:rFonts w:ascii="Arial Narrow" w:eastAsia="Arial Narrow" w:hAnsi="Arial Narrow" w:cs="Arial Narrow"/>
          <w:sz w:val="16"/>
          <w:szCs w:val="16"/>
        </w:rPr>
      </w:pPr>
      <w:r w:rsidRPr="00E33134">
        <w:rPr>
          <w:rFonts w:ascii="Arial Narrow" w:eastAsia="Arial Narrow" w:hAnsi="Arial Narrow" w:cs="Arial Narrow"/>
          <w:sz w:val="16"/>
          <w:szCs w:val="16"/>
        </w:rPr>
        <w:t>Darbības</w:t>
      </w:r>
      <w:r w:rsidRPr="00E33134">
        <w:rPr>
          <w:rFonts w:ascii="Arial Narrow" w:eastAsia="Arial Narrow" w:hAnsi="Arial Narrow" w:cs="Arial Narrow"/>
          <w:sz w:val="16"/>
          <w:szCs w:val="16"/>
        </w:rPr>
        <w:t xml:space="preserve"> segmentu starpā piemērotās transfertcenas atbilst brīva tirgus principiem un ir salīdzināmas ar cenām darījumos ar trešām pusēm.</w:t>
      </w:r>
    </w:p>
    <w:p w:rsidR="004D2CCE" w:rsidRPr="00E33134" w:rsidP="00E33134" w14:paraId="6E398579" w14:textId="510FD059">
      <w:pPr>
        <w:spacing w:after="0" w:line="360" w:lineRule="auto"/>
        <w:jc w:val="both"/>
        <w:rPr>
          <w:rFonts w:ascii="Arial Narrow" w:eastAsia="Arial Narrow" w:hAnsi="Arial Narrow" w:cs="Arial Narrow"/>
          <w:sz w:val="16"/>
          <w:szCs w:val="16"/>
        </w:rPr>
      </w:pPr>
      <w:r w:rsidRPr="00E33134">
        <w:rPr>
          <w:rFonts w:ascii="Arial Narrow" w:eastAsia="Arial Narrow" w:hAnsi="Arial Narrow" w:cs="Arial Narrow"/>
          <w:sz w:val="16"/>
          <w:szCs w:val="16"/>
        </w:rPr>
        <w:t>202</w:t>
      </w:r>
      <w:r>
        <w:rPr>
          <w:rFonts w:ascii="Arial Narrow" w:eastAsia="Arial Narrow" w:hAnsi="Arial Narrow" w:cs="Arial Narrow"/>
          <w:sz w:val="16"/>
          <w:szCs w:val="16"/>
        </w:rPr>
        <w:t>1</w:t>
      </w:r>
      <w:r w:rsidRPr="00E33134">
        <w:rPr>
          <w:rFonts w:ascii="Arial Narrow" w:eastAsia="Arial Narrow" w:hAnsi="Arial Narrow" w:cs="Arial Narrow"/>
          <w:sz w:val="16"/>
          <w:szCs w:val="16"/>
        </w:rPr>
        <w:t>. un 20</w:t>
      </w:r>
      <w:r>
        <w:rPr>
          <w:rFonts w:ascii="Arial Narrow" w:eastAsia="Arial Narrow" w:hAnsi="Arial Narrow" w:cs="Arial Narrow"/>
          <w:sz w:val="16"/>
          <w:szCs w:val="16"/>
        </w:rPr>
        <w:t>20</w:t>
      </w:r>
      <w:r w:rsidRPr="00E33134">
        <w:rPr>
          <w:rFonts w:ascii="Arial Narrow" w:eastAsia="Arial Narrow" w:hAnsi="Arial Narrow" w:cs="Arial Narrow"/>
          <w:sz w:val="16"/>
          <w:szCs w:val="16"/>
        </w:rPr>
        <w:t>. gadā nevienā darījumā ar vienu ārēju klientu vai darījuma pusi netika gūti ieņēmumi, kas veido 10% vai vairāk n</w:t>
      </w:r>
      <w:r w:rsidRPr="00E33134">
        <w:rPr>
          <w:rFonts w:ascii="Arial Narrow" w:eastAsia="Arial Narrow" w:hAnsi="Arial Narrow" w:cs="Arial Narrow"/>
          <w:sz w:val="16"/>
          <w:szCs w:val="16"/>
        </w:rPr>
        <w:t>o Koncerna kopējiem ieņēmumiem.</w:t>
      </w:r>
    </w:p>
    <w:p w:rsidR="00E33134" w:rsidP="00E33134" w14:paraId="6E10B87E" w14:textId="77777777">
      <w:pPr>
        <w:spacing w:after="0" w:line="360" w:lineRule="auto"/>
        <w:jc w:val="both"/>
        <w:rPr>
          <w:rFonts w:ascii="Arial Narrow" w:eastAsia="Arial Narrow" w:hAnsi="Arial Narrow" w:cs="Arial Narrow"/>
          <w:sz w:val="16"/>
          <w:szCs w:val="16"/>
        </w:rPr>
      </w:pPr>
    </w:p>
    <w:p w:rsidR="004D2CCE" w:rsidP="00E33134" w14:paraId="0DAAC237" w14:textId="4CB58468">
      <w:pPr>
        <w:spacing w:after="0" w:line="360" w:lineRule="auto"/>
        <w:jc w:val="both"/>
        <w:rPr>
          <w:rFonts w:ascii="Arial Narrow" w:eastAsia="Arial Narrow" w:hAnsi="Arial Narrow" w:cs="Arial Narrow"/>
          <w:sz w:val="16"/>
          <w:szCs w:val="16"/>
        </w:rPr>
      </w:pPr>
      <w:r w:rsidRPr="00E33134">
        <w:rPr>
          <w:rFonts w:ascii="Arial Narrow" w:eastAsia="Arial Narrow" w:hAnsi="Arial Narrow" w:cs="Arial Narrow"/>
          <w:sz w:val="16"/>
          <w:szCs w:val="16"/>
        </w:rPr>
        <w:t>Turpmāk sniegtā segmentu informācija uzrāda galvenos apvienoto ienākumu pārskata ienākumu un izdevumu posteņus, Pārējie mazākie ienākumu un izdevumu posteņi ir apvienoti un uzrādīti kolonnā “Citi ienākumi/(izdevumi)”.</w:t>
      </w:r>
    </w:p>
    <w:p w:rsidR="00E33134" w:rsidRPr="00E33134" w:rsidP="00E33134" w14:paraId="6AA559BA" w14:textId="77777777">
      <w:pPr>
        <w:spacing w:after="0" w:line="360" w:lineRule="auto"/>
        <w:jc w:val="both"/>
        <w:rPr>
          <w:rFonts w:ascii="Arial Narrow" w:eastAsia="Arial Narrow" w:hAnsi="Arial Narrow" w:cs="Arial Narrow"/>
          <w:sz w:val="16"/>
          <w:szCs w:val="16"/>
        </w:rPr>
      </w:pPr>
    </w:p>
    <w:p w:rsidR="007521B3" w:rsidRPr="00E33134" w:rsidP="00E33134" w14:paraId="02A932A0" w14:textId="3E8E8E26">
      <w:pPr>
        <w:spacing w:after="0" w:line="360" w:lineRule="auto"/>
        <w:jc w:val="both"/>
        <w:rPr>
          <w:rFonts w:ascii="Arial Narrow" w:eastAsia="Arial Narrow" w:hAnsi="Arial Narrow" w:cs="Arial Narrow"/>
          <w:sz w:val="16"/>
          <w:szCs w:val="16"/>
        </w:rPr>
      </w:pPr>
      <w:r w:rsidRPr="00E33134">
        <w:rPr>
          <w:rFonts w:ascii="Arial Narrow" w:eastAsia="Arial Narrow" w:hAnsi="Arial Narrow" w:cs="Arial Narrow"/>
          <w:sz w:val="16"/>
          <w:szCs w:val="16"/>
        </w:rPr>
        <w:t>Segm</w:t>
      </w:r>
      <w:r w:rsidRPr="00E33134">
        <w:rPr>
          <w:rFonts w:ascii="Arial Narrow" w:eastAsia="Arial Narrow" w:hAnsi="Arial Narrow" w:cs="Arial Narrow"/>
          <w:sz w:val="16"/>
          <w:szCs w:val="16"/>
        </w:rPr>
        <w:t>entu informācija par gadu, kas noslēdzās ceturtdiena, 202</w:t>
      </w:r>
      <w:r>
        <w:rPr>
          <w:rFonts w:ascii="Arial Narrow" w:eastAsia="Arial Narrow" w:hAnsi="Arial Narrow" w:cs="Arial Narrow"/>
          <w:sz w:val="16"/>
          <w:szCs w:val="16"/>
        </w:rPr>
        <w:t>1</w:t>
      </w:r>
      <w:r w:rsidRPr="00E33134">
        <w:rPr>
          <w:rFonts w:ascii="Arial Narrow" w:eastAsia="Arial Narrow" w:hAnsi="Arial Narrow" w:cs="Arial Narrow"/>
          <w:sz w:val="16"/>
          <w:szCs w:val="16"/>
        </w:rPr>
        <w:t>. gada 31. decembrī, ir šāda:</w:t>
      </w:r>
    </w:p>
    <w:tbl>
      <w:tblPr>
        <w:tblStyle w:val="CDMRange2"/>
        <w:tblW w:w="9600" w:type="dxa"/>
        <w:tblLayout w:type="fixed"/>
        <w:tblLook w:val="0600"/>
      </w:tblPr>
      <w:tblGrid>
        <w:gridCol w:w="1500"/>
        <w:gridCol w:w="900"/>
        <w:gridCol w:w="900"/>
        <w:gridCol w:w="900"/>
        <w:gridCol w:w="900"/>
        <w:gridCol w:w="900"/>
        <w:gridCol w:w="900"/>
        <w:gridCol w:w="900"/>
        <w:gridCol w:w="900"/>
        <w:gridCol w:w="900"/>
      </w:tblGrid>
      <w:tr>
        <w:tblPrEx>
          <w:tblW w:w="9600" w:type="dxa"/>
          <w:tblLayout w:type="fixed"/>
          <w:tblLook w:val="0600"/>
        </w:tblPrEx>
        <w:trPr>
          <w:trHeight w:val="255"/>
        </w:trPr>
        <w:tc>
          <w:tcPr>
            <w:tcW w:w="15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Periods, kas noslēdzās 31.12.2021.</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Procentu </w:t>
            </w:r>
          </w:p>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ieņēmumi</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Procentu izdevumi</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Vērtības samazinājums un neto rezultāts no finanšu aktīvu atzīšanas pārtraukšanas</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Pārējie saimnie- ciskās darbības ieņēmumi</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Pārējās saimnieciskās </w:t>
            </w:r>
          </w:p>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darbības izmaksas</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Uzņēmumu ienākuma nodoklis</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Segmenta peļņa/ (zaudējumi) pārskata periodā</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Kopā aktīvi</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Kopā saistības</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Finansējums</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7,752,942</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(4,105,163)</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1,851,565</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3,165,435</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(2,629,427)</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6,035,352</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50,745,071</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36,522,940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Noma</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7,409</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(1,220,609)</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(1,627,078)</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11,275,521</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(9,357,149)</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(921,906)</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11,739,269</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12,337,442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Segmenti kopā</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7,760,351</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(5,325,772)</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224,487</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14,440,956</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(11,986,576)</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5,113,446</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62,484,340</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48,860,382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Korekcijas un izslēgtas summas</w:t>
            </w:r>
          </w:p>
        </w:tc>
        <w:tc>
          <w:tcPr>
            <w:tcW w:w="900" w:type="dxa"/>
            <w:vMerge w:val="restart"/>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(808,705)</w:t>
            </w:r>
          </w:p>
        </w:tc>
        <w:tc>
          <w:tcPr>
            <w:tcW w:w="900" w:type="dxa"/>
            <w:vMerge w:val="restart"/>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808,705</w:t>
            </w:r>
          </w:p>
        </w:tc>
        <w:tc>
          <w:tcPr>
            <w:tcW w:w="900" w:type="dxa"/>
            <w:vMerge w:val="restart"/>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vMerge w:val="restart"/>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(1,054,100)</w:t>
            </w:r>
          </w:p>
        </w:tc>
        <w:tc>
          <w:tcPr>
            <w:tcW w:w="900" w:type="dxa"/>
            <w:vMerge w:val="restart"/>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1,497,586</w:t>
            </w:r>
          </w:p>
        </w:tc>
        <w:tc>
          <w:tcPr>
            <w:tcW w:w="900" w:type="dxa"/>
            <w:vMerge w:val="restart"/>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vMerge w:val="restart"/>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443,486</w:t>
            </w:r>
          </w:p>
        </w:tc>
        <w:tc>
          <w:tcPr>
            <w:tcW w:w="900" w:type="dxa"/>
            <w:vMerge w:val="restart"/>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(7,302,284)</w:t>
            </w:r>
          </w:p>
        </w:tc>
        <w:tc>
          <w:tcPr>
            <w:tcW w:w="900" w:type="dxa"/>
            <w:vMerge w:val="restart"/>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(7,745,771)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Konsolidētais</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6,951,646</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(4,517,067)</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224,487</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13,386,856</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(10,488,990)</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5,556,932</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55,182,056</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41,114,611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180"/>
        </w:trPr>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180"/>
        </w:trPr>
        <w:tc>
          <w:tcPr>
            <w:tcW w:w="15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Periods, kas noslēdzās 31.12.2020.</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Procentu </w:t>
            </w:r>
          </w:p>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ieņēmumi</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Procentu izdevumi</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Vērtības samazinājums un neto rezultāts no finanšu aktīvu atzīšanas pārtraukšanas</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Pārējie saimnie- ciskās darbības ieņēmumi</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 xml:space="preserve">Pārējās saimnieciskās </w:t>
            </w:r>
          </w:p>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darbības izmaksas</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Uzņēmumu ienākuma nodoklis</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Segmenta peļņa/ (zaudējumi) pārskata periodā</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Kopā aktīvi</w:t>
            </w:r>
          </w:p>
        </w:tc>
        <w:tc>
          <w:tcPr>
            <w:tcW w:w="900" w:type="dxa"/>
            <w:vMerge w:val="restart"/>
            <w:tcBorders>
              <w:top w:val="nil"/>
              <w:left w:val="nil"/>
              <w:bottom w:val="nil"/>
              <w:right w:val="nil"/>
              <w:tl2br w:val="nil"/>
              <w:tr2bl w:val="nil"/>
            </w:tcBorders>
            <w:shd w:val="clear" w:color="auto" w:fill="auto"/>
            <w:noWrap w:val="0"/>
            <w:tcMar>
              <w:left w:w="40" w:type="dxa"/>
              <w:right w:w="4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Kopā saistības</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bottom"/>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tcBorders>
              <w:top w:val="single" w:sz="4" w:space="0" w:color="000000"/>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tcBorders>
              <w:top w:val="single" w:sz="4" w:space="0" w:color="000000"/>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Finansējums</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10,465,330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(4,127,633)</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(526,360)</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2,817,681</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(2,187,829)</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6,441,189</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49,674,747</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34,818,776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15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Noma</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6,539</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(1,012,795)</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(1,045,842)</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10,983,161</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(10,372,995)</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(1,441,932)</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16,274,874</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17,439,670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tcBorders>
              <w:top w:val="nil"/>
              <w:left w:val="nil"/>
              <w:bottom w:val="single" w:sz="4" w:space="0" w:color="000000"/>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Segmenti kopā</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10,471,869</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(5,140,428)</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(1,572,202)</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13,800,842</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(12,560,824)</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4,999,257</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65,949,621</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52,258,446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vMerge w:val="restart"/>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Korekcijas un izslēgtas summas</w:t>
            </w:r>
          </w:p>
        </w:tc>
        <w:tc>
          <w:tcPr>
            <w:tcW w:w="900" w:type="dxa"/>
            <w:vMerge w:val="restart"/>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(591,360)</w:t>
            </w:r>
          </w:p>
        </w:tc>
        <w:tc>
          <w:tcPr>
            <w:tcW w:w="900" w:type="dxa"/>
            <w:vMerge w:val="restart"/>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591,360</w:t>
            </w:r>
          </w:p>
        </w:tc>
        <w:tc>
          <w:tcPr>
            <w:tcW w:w="900" w:type="dxa"/>
            <w:vMerge w:val="restart"/>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vMerge w:val="restart"/>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(463,204)</w:t>
            </w:r>
          </w:p>
        </w:tc>
        <w:tc>
          <w:tcPr>
            <w:tcW w:w="900" w:type="dxa"/>
            <w:vMerge w:val="restart"/>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1,029,826</w:t>
            </w:r>
          </w:p>
        </w:tc>
        <w:tc>
          <w:tcPr>
            <w:tcW w:w="900" w:type="dxa"/>
            <w:vMerge w:val="restart"/>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vMerge w:val="restart"/>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566,622</w:t>
            </w:r>
          </w:p>
        </w:tc>
        <w:tc>
          <w:tcPr>
            <w:tcW w:w="900" w:type="dxa"/>
            <w:vMerge w:val="restart"/>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(6,977,389)</w:t>
            </w:r>
          </w:p>
        </w:tc>
        <w:tc>
          <w:tcPr>
            <w:tcW w:w="900" w:type="dxa"/>
            <w:vMerge w:val="restart"/>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(7,544,011)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vMerge/>
            <w:tcBorders>
              <w:top w:val="nil"/>
              <w:left w:val="nil"/>
              <w:bottom w:val="nil"/>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c>
          <w:tcPr>
            <w:tcW w:w="900" w:type="dxa"/>
            <w:vMerge/>
            <w:tcBorders>
              <w:top w:val="nil"/>
              <w:left w:val="nil"/>
              <w:bottom w:val="nil"/>
              <w:right w:val="nil"/>
              <w:tl2br w:val="nil"/>
              <w:tr2bl w:val="nil"/>
            </w:tcBorders>
            <w:shd w:val="clear" w:color="FFFFFF" w:fill="E2F0D9"/>
            <w:noWrap w:val="0"/>
            <w:tcMar>
              <w:left w:w="0" w:type="dxa"/>
              <w:right w:w="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15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Konsolidētais</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9,880,509</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(4,549,068)</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(1,572,202)</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13,337,638</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(11,530,998)</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5,565,879</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58,972,232</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44,714,435</w:t>
            </w:r>
          </w:p>
        </w:tc>
      </w:tr>
    </w:tbl>
    <w:p/>
    <w:p w:rsidR="00310E6B" w:rsidRPr="00D31187" w:rsidP="00D31187" w14:paraId="176B2A76" w14:textId="35B4E410">
      <w:pPr>
        <w:spacing w:after="0" w:line="360" w:lineRule="auto"/>
        <w:jc w:val="both"/>
        <w:rPr>
          <w:rFonts w:ascii="Arial Narrow" w:eastAsia="Arial Narrow" w:hAnsi="Arial Narrow" w:cs="Arial Narrow"/>
          <w:sz w:val="16"/>
          <w:szCs w:val="16"/>
        </w:rPr>
      </w:pPr>
      <w:bookmarkStart w:id="1240" w:name="RG_MARKER_6675"/>
      <w:r w:rsidRPr="00D31187">
        <w:rPr>
          <w:rFonts w:ascii="Arial Narrow" w:eastAsia="Arial Narrow" w:hAnsi="Arial Narrow" w:cs="Arial Narrow"/>
          <w:sz w:val="16"/>
          <w:szCs w:val="16"/>
        </w:rPr>
        <w:t>Segmentu starpā gūtie ieņēmumi ir izslēgti no konsolidācijas un atspoguļoti kolonnā “korekcijas un izslēgtas summas”. Visas pārējās korekcijas un izslēgtās summas ir ietvertas turpmāk sniegtajos saskaņojumos.</w:t>
      </w:r>
      <w:bookmarkEnd w:id="1240"/>
      <w:r w:rsidRPr="00D31187">
        <w:rPr>
          <w:rFonts w:ascii="Arial Narrow" w:eastAsia="Arial Narrow" w:hAnsi="Arial Narrow" w:cs="Arial Narrow"/>
          <w:sz w:val="16"/>
          <w:szCs w:val="16"/>
        </w:rPr>
        <w:tab/>
      </w:r>
    </w:p>
    <w:p w:rsidR="00310E6B" w:rsidP="00310E6B" w14:paraId="6B275A20" w14:textId="77777777">
      <w:pPr>
        <w:rPr>
          <w:rFonts w:ascii="Arial Narrow" w:eastAsia="Arial Narrow" w:hAnsi="Arial Narrow" w:cs="Arial Narrow"/>
          <w:b/>
          <w:bCs/>
          <w:sz w:val="14"/>
          <w:szCs w:val="14"/>
        </w:rPr>
        <w:sectPr w:rsidSect="00DB36E3">
          <w:headerReference w:type="even" r:id="rId210"/>
          <w:headerReference w:type="default" r:id="rId211"/>
          <w:footerReference w:type="even" r:id="rId212"/>
          <w:footerReference w:type="default" r:id="rId213"/>
          <w:headerReference w:type="first" r:id="rId214"/>
          <w:footerReference w:type="first" r:id="rId215"/>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p>
    <w:p w:rsidR="007521B3" w:rsidRPr="00310E6B" w:rsidP="00310E6B" w14:textId="39B18AD2">
      <w:pPr>
        <w:rPr>
          <w:rFonts w:ascii="Arial Narrow" w:eastAsia="Arial Narrow" w:hAnsi="Arial Narrow" w:cs="Arial Narrow"/>
          <w:b/>
          <w:bCs/>
        </w:rPr>
      </w:pPr>
      <w:r w:rsidRPr="00310E6B">
        <w:rPr>
          <w:rFonts w:ascii="Arial Narrow" w:eastAsia="Arial Narrow" w:hAnsi="Arial Narrow" w:cs="Arial Narrow"/>
          <w:b/>
          <w:bCs/>
          <w:sz w:val="14"/>
          <w:szCs w:val="14"/>
        </w:rPr>
        <w:t>42. Segmentu informācija (</w:t>
      </w:r>
      <w:r w:rsidRPr="00310E6B">
        <w:rPr>
          <w:rFonts w:ascii="Arial Narrow" w:eastAsia="Arial Narrow" w:hAnsi="Arial Narrow" w:cs="Arial Narrow"/>
          <w:b/>
          <w:bCs/>
          <w:sz w:val="14"/>
          <w:szCs w:val="14"/>
        </w:rPr>
        <w:t>turpinājums)</w:t>
      </w:r>
    </w:p>
    <w:tbl>
      <w:tblPr>
        <w:tblStyle w:val="CDMRange1"/>
        <w:tblW w:w="9600" w:type="dxa"/>
        <w:tblLayout w:type="fixed"/>
        <w:tblLook w:val="0600"/>
      </w:tblPr>
      <w:tblGrid>
        <w:gridCol w:w="7800"/>
        <w:gridCol w:w="900"/>
        <w:gridCol w:w="900"/>
      </w:tblGrid>
      <w:tr>
        <w:tblPrEx>
          <w:tblW w:w="9600" w:type="dxa"/>
          <w:tblLayout w:type="fixed"/>
          <w:tblLook w:val="0600"/>
        </w:tblPrEx>
        <w:trPr>
          <w:trHeight w:hRule="exact" w:val="255"/>
        </w:trPr>
        <w:tc>
          <w:tcPr>
            <w:tcW w:w="78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2021</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i/>
                <w:strike w:val="0"/>
                <w:color w:val="000000"/>
                <w:sz w:val="16"/>
                <w:u w:val="none"/>
                <w:vertAlign w:val="baseline"/>
              </w:rPr>
            </w:pPr>
            <w:r>
              <w:rPr>
                <w:rFonts w:ascii="Arial Narrow" w:eastAsia="Arial Narrow" w:hAnsi="Arial Narrow" w:cs="Arial Narrow"/>
                <w:b/>
                <w:i/>
                <w:strike w:val="0"/>
                <w:color w:val="000000"/>
                <w:sz w:val="16"/>
                <w:u w:val="none"/>
                <w:vertAlign w:val="baseline"/>
              </w:rPr>
              <w:t>Ieņēmumi</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Ārēji klienti (procentu ienākumu un citi ienākumi)</w:t>
            </w:r>
          </w:p>
        </w:tc>
        <w:tc>
          <w:tcPr>
            <w:tcW w:w="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20,338,502</w:t>
            </w:r>
          </w:p>
        </w:tc>
        <w:tc>
          <w:tcPr>
            <w:tcW w:w="9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23,218,147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Koncerna ietvaros gūto procentu ieņēmumu un pārējo saimnieciskās darbības ieņēmumu izslēgšana</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1,862,805</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1,054,564</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KOPĀ:</w:t>
            </w:r>
          </w:p>
        </w:tc>
        <w:tc>
          <w:tcPr>
            <w:tcW w:w="900" w:type="dxa"/>
            <w:tcBorders>
              <w:top w:val="single" w:sz="4" w:space="0" w:color="000000"/>
              <w:left w:val="nil"/>
              <w:bottom w:val="double" w:sz="6"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22,201,307</w:t>
            </w:r>
          </w:p>
        </w:tc>
        <w:tc>
          <w:tcPr>
            <w:tcW w:w="900" w:type="dxa"/>
            <w:tcBorders>
              <w:top w:val="single" w:sz="4" w:space="0" w:color="000000"/>
              <w:left w:val="nil"/>
              <w:bottom w:val="double" w:sz="6"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i w:val="0"/>
                <w:strike w:val="0"/>
                <w:color w:val="000000"/>
                <w:sz w:val="16"/>
                <w:u w:val="none"/>
                <w:vertAlign w:val="baseline"/>
              </w:rPr>
            </w:pPr>
            <w:r>
              <w:rPr>
                <w:rFonts w:ascii="Arial Narrow" w:eastAsia="Arial Narrow" w:hAnsi="Arial Narrow" w:cs="Arial Narrow"/>
                <w:b/>
                <w:i w:val="0"/>
                <w:strike w:val="0"/>
                <w:color w:val="000000"/>
                <w:sz w:val="16"/>
                <w:u w:val="none"/>
                <w:vertAlign w:val="baseline"/>
              </w:rPr>
              <w:t>24,272,711</w:t>
            </w:r>
          </w:p>
        </w:tc>
      </w:tr>
    </w:tbl>
    <w:tbl>
      <w:tblPr>
        <w:tblStyle w:val="CDMRange2"/>
        <w:tblW w:w="9600" w:type="dxa"/>
        <w:tblLayout w:type="fixed"/>
        <w:tblLook w:val="0600"/>
      </w:tblPr>
      <w:tblGrid>
        <w:gridCol w:w="7800"/>
        <w:gridCol w:w="900"/>
        <w:gridCol w:w="900"/>
      </w:tblGrid>
      <w:tr>
        <w:tblPrEx>
          <w:tblW w:w="9600" w:type="dxa"/>
          <w:tblLayout w:type="fixed"/>
          <w:tblLook w:val="0600"/>
        </w:tblPrEx>
        <w:trPr>
          <w:trHeight w:hRule="exact" w:val="255"/>
        </w:trPr>
        <w:tc>
          <w:tcPr>
            <w:tcW w:w="78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12/31/2021</w:t>
            </w:r>
          </w:p>
        </w:tc>
        <w:tc>
          <w:tcPr>
            <w:tcW w:w="9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12/31/2020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Peļņas saskaņošana</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c>
          <w:tcPr>
            <w:tcW w:w="9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EUR</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7800" w:type="dxa"/>
            <w:tcBorders>
              <w:top w:val="single" w:sz="4" w:space="0" w:color="000000"/>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Segmenta peļņa</w:t>
            </w:r>
          </w:p>
        </w:tc>
        <w:tc>
          <w:tcPr>
            <w:tcW w:w="90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5,113,446</w:t>
            </w:r>
          </w:p>
        </w:tc>
        <w:tc>
          <w:tcPr>
            <w:tcW w:w="900" w:type="dxa"/>
            <w:tcBorders>
              <w:top w:val="single" w:sz="4" w:space="0" w:color="000000"/>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4,999,257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78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Koncerna ietvaros gūto procentu ieņēmumi izslēgšana</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(808,705)</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(591,360)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78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Koncerna ietvaros gūto procentu izdevumu izslēgšana</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808,705</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591,360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7800" w:type="dxa"/>
            <w:tcBorders>
              <w:top w:val="nil"/>
              <w:left w:val="nil"/>
              <w:bottom w:val="nil"/>
              <w:right w:val="nil"/>
              <w:tl2br w:val="nil"/>
              <w:tr2bl w:val="nil"/>
            </w:tcBorders>
            <w:shd w:val="clear" w:color="auto" w:fill="auto"/>
            <w:noWrap w:val="0"/>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Koncerna ietvaros gūto komisijas naudu ienākumu izslēgšana</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(417,787)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78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Koncerna ietvaros gūto ienākumu no pakalpojumu maksas izslēgšana</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(970,409)</w:t>
            </w:r>
          </w:p>
        </w:tc>
        <w:tc>
          <w:tcPr>
            <w:tcW w:w="900" w:type="dxa"/>
            <w:tcBorders>
              <w:top w:val="nil"/>
              <w:left w:val="nil"/>
              <w:bottom w:val="nil"/>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(415,850)</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78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Koncerna ietvaros gūto citu ienākumu/(izdevumu) izslēgšana</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1,413,895</w:t>
            </w:r>
          </w:p>
        </w:tc>
        <w:tc>
          <w:tcPr>
            <w:tcW w:w="900" w:type="dxa"/>
            <w:tcBorders>
              <w:top w:val="nil"/>
              <w:left w:val="nil"/>
              <w:bottom w:val="single" w:sz="4" w:space="0" w:color="000000"/>
              <w:right w:val="nil"/>
              <w:tl2br w:val="nil"/>
              <w:tr2bl w:val="nil"/>
            </w:tcBorders>
            <w:shd w:val="clear" w:color="FFFFFF" w:fill="E2F0D9"/>
            <w:noWrap w:val="0"/>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1,400,259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Pārskata perioda konsolidētā peļņa</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5,556,932</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5,565,879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Aktīvu saskaņošana</w:t>
            </w: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Segmenta saimnieciskās darbības aktīvi</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62,484,340</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65,949,621</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Koncerna ietvaros izsniegto aizdevumu izslēgšana</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(6,978,212)</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(5,620,212)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Citu debitoru parādu izslēgšana Koncerna ietvaros</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(324,072)</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(1,357,177)</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Kopā aktīvi</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55,182,056</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58,972,232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nil"/>
              <w:right w:val="nil"/>
              <w:tl2br w:val="nil"/>
              <w:tr2bl w:val="nil"/>
            </w:tcBorders>
            <w:shd w:val="clear" w:color="auto" w:fill="auto"/>
            <w:noWrap/>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val="255"/>
        </w:trPr>
        <w:tc>
          <w:tcPr>
            <w:tcW w:w="78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strike w:val="0"/>
                <w:color w:val="000000"/>
                <w:sz w:val="16"/>
                <w:u w:val="none"/>
                <w:vertAlign w:val="baseline"/>
              </w:rPr>
            </w:pPr>
            <w:r>
              <w:rPr>
                <w:rFonts w:ascii="Arial Narrow" w:eastAsia="Arial Narrow" w:hAnsi="Arial Narrow" w:cs="Arial Narrow"/>
                <w:b w:val="0"/>
                <w:i/>
                <w:strike w:val="0"/>
                <w:color w:val="000000"/>
                <w:sz w:val="16"/>
                <w:u w:val="none"/>
                <w:vertAlign w:val="baseline"/>
              </w:rPr>
              <w:t>Saistību saskaņošana</w:t>
            </w:r>
          </w:p>
        </w:tc>
        <w:tc>
          <w:tcPr>
            <w:tcW w:w="9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c>
          <w:tcPr>
            <w:tcW w:w="900" w:type="dxa"/>
            <w:tcBorders>
              <w:top w:val="nil"/>
              <w:left w:val="nil"/>
              <w:bottom w:val="single" w:sz="4" w:space="0" w:color="000000"/>
              <w:right w:val="nil"/>
              <w:tl2br w:val="nil"/>
              <w:tr2bl w:val="nil"/>
            </w:tcBorders>
            <w:shd w:val="clear" w:color="auto" w:fill="auto"/>
            <w:noWrap w:val="0"/>
            <w:tcMar>
              <w:left w:w="0" w:type="dxa"/>
              <w:right w:w="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Segmenta saimnieciskās darbības saistības</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48,860,382</w:t>
            </w:r>
          </w:p>
        </w:tc>
        <w:tc>
          <w:tcPr>
            <w:tcW w:w="900" w:type="dxa"/>
            <w:tcBorders>
              <w:top w:val="single" w:sz="4" w:space="0" w:color="000000"/>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52,258,446</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nil"/>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Koncerna ietvaros saņemto aizņēmumu izslēgšana</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(6,978,212)</w:t>
            </w:r>
          </w:p>
        </w:tc>
        <w:tc>
          <w:tcPr>
            <w:tcW w:w="900" w:type="dxa"/>
            <w:tcBorders>
              <w:top w:val="nil"/>
              <w:left w:val="nil"/>
              <w:bottom w:val="nil"/>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(5,620,212)</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nil"/>
              <w:left w:val="nil"/>
              <w:bottom w:val="single" w:sz="4" w:space="0" w:color="000000"/>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Citu kreditoru parādu izslēgšana Koncerna ietvaros</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(767,559)</w:t>
            </w:r>
          </w:p>
        </w:tc>
        <w:tc>
          <w:tcPr>
            <w:tcW w:w="900" w:type="dxa"/>
            <w:tcBorders>
              <w:top w:val="nil"/>
              <w:left w:val="nil"/>
              <w:bottom w:val="single" w:sz="4" w:space="0" w:color="000000"/>
              <w:right w:val="nil"/>
              <w:tl2br w:val="nil"/>
              <w:tr2bl w:val="nil"/>
            </w:tcBorders>
            <w:shd w:val="clear" w:color="FFFFFF" w:fill="E2F0D9"/>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(1,923,799)</w:t>
            </w:r>
          </w:p>
        </w:tc>
      </w:tr>
      <w:tr>
        <w:tblPrEx>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8" w:type="dxa"/>
            <w:right w:w="108" w:type="dxa"/>
          </w:tblCellMar>
          <w:tblLook w:val="0600"/>
        </w:tblPrEx>
        <w:trPr>
          <w:trHeight w:hRule="exact" w:val="255"/>
        </w:trPr>
        <w:tc>
          <w:tcPr>
            <w:tcW w:w="7800" w:type="dxa"/>
            <w:tcBorders>
              <w:top w:val="single" w:sz="4" w:space="0" w:color="000000"/>
              <w:left w:val="nil"/>
              <w:bottom w:val="nil"/>
              <w:right w:val="nil"/>
              <w:tl2br w:val="nil"/>
              <w:tr2bl w:val="nil"/>
            </w:tcBorders>
            <w:shd w:val="clear" w:color="auto" w:fill="auto"/>
            <w:noWrap/>
            <w:tcMar>
              <w:left w:w="40" w:type="dxa"/>
              <w:right w:w="40" w:type="dxa"/>
            </w:tcMar>
            <w:textDirection w:val="lrTb"/>
            <w:tcFitText w:val="0"/>
            <w:vAlign w:val="center"/>
          </w:tcPr>
          <w:p>
            <w:pPr>
              <w:bidi w:val="0"/>
              <w:spacing w:before="0" w:beforeAutospacing="0" w:after="0" w:afterAutospacing="0" w:line="240" w:lineRule="auto"/>
              <w:jc w:val="lef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Kopā saistības</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41,114,611</w:t>
            </w:r>
          </w:p>
        </w:tc>
        <w:tc>
          <w:tcPr>
            <w:tcW w:w="900" w:type="dxa"/>
            <w:tcBorders>
              <w:top w:val="single" w:sz="4" w:space="0" w:color="000000"/>
              <w:left w:val="nil"/>
              <w:bottom w:val="nil"/>
              <w:right w:val="nil"/>
              <w:tl2br w:val="nil"/>
              <w:tr2bl w:val="nil"/>
            </w:tcBorders>
            <w:shd w:val="clear" w:color="FFFFFF" w:fill="DEEBF7"/>
            <w:noWrap/>
            <w:tcMar>
              <w:left w:w="40" w:type="dxa"/>
              <w:right w:w="40" w:type="dxa"/>
            </w:tcMar>
            <w:textDirection w:val="lrTb"/>
            <w:tcFitText w:val="0"/>
            <w:vAlign w:val="center"/>
          </w:tcPr>
          <w:p>
            <w:pPr>
              <w:bidi w:val="0"/>
              <w:spacing w:before="0" w:beforeAutospacing="0" w:after="0" w:afterAutospacing="0" w:line="240" w:lineRule="auto"/>
              <w:jc w:val="right"/>
              <w:rPr>
                <w:rFonts w:ascii="Arial Narrow" w:eastAsia="Arial Narrow" w:hAnsi="Arial Narrow" w:cs="Arial Narrow"/>
                <w:b w:val="0"/>
                <w:i w:val="0"/>
                <w:strike w:val="0"/>
                <w:color w:val="000000"/>
                <w:sz w:val="16"/>
                <w:u w:val="none"/>
                <w:vertAlign w:val="baseline"/>
              </w:rPr>
            </w:pPr>
            <w:r>
              <w:rPr>
                <w:rFonts w:ascii="Arial Narrow" w:eastAsia="Arial Narrow" w:hAnsi="Arial Narrow" w:cs="Arial Narrow"/>
                <w:b w:val="0"/>
                <w:i w:val="0"/>
                <w:strike w:val="0"/>
                <w:color w:val="000000"/>
                <w:sz w:val="16"/>
                <w:u w:val="none"/>
                <w:vertAlign w:val="baseline"/>
              </w:rPr>
              <w:t>44,714,435</w:t>
            </w:r>
          </w:p>
        </w:tc>
      </w:tr>
    </w:tbl>
    <w:p/>
    <w:p w:rsidR="00F90302" w:rsidRPr="001C0503" w:rsidP="001C0503" w14:paraId="763208C8" w14:textId="385B1E9E">
      <w:pPr>
        <w:spacing w:after="0" w:line="360" w:lineRule="auto"/>
        <w:jc w:val="both"/>
        <w:rPr>
          <w:rFonts w:ascii="Arial Narrow" w:eastAsia="Arial Narrow" w:hAnsi="Arial Narrow" w:cs="Arial Narrow"/>
          <w:sz w:val="16"/>
          <w:szCs w:val="16"/>
        </w:rPr>
      </w:pPr>
      <w:bookmarkStart w:id="1241" w:name="RG_MARKER_6676"/>
      <w:r w:rsidRPr="001C0503">
        <w:rPr>
          <w:rFonts w:ascii="Arial Narrow" w:eastAsia="Arial Narrow" w:hAnsi="Arial Narrow" w:cs="Arial Narrow"/>
          <w:sz w:val="16"/>
          <w:szCs w:val="16"/>
        </w:rPr>
        <w:t>Mātes sabiedrība darbojas vienīgi finansēšanas segmentā, bet meitas sabiedrība ir uzrādīta nomas segmentā.</w:t>
      </w:r>
      <w:bookmarkEnd w:id="1241"/>
    </w:p>
    <w:p/>
    <w:p w:rsidR="00387E15" w:rsidRPr="00EA2F94" w:rsidP="00EA2F94" w14:paraId="55C8A925" w14:textId="37A5BB52">
      <w:pPr>
        <w:spacing w:after="0" w:line="360" w:lineRule="auto"/>
        <w:jc w:val="both"/>
        <w:rPr>
          <w:rFonts w:ascii="Arial Narrow" w:eastAsia="Arial Narrow" w:hAnsi="Arial Narrow" w:cs="Arial Narrow"/>
          <w:sz w:val="16"/>
          <w:szCs w:val="16"/>
        </w:rPr>
      </w:pPr>
      <w:bookmarkStart w:id="1242" w:name="RG_MARKER_6677"/>
      <w:bookmarkStart w:id="1243" w:name="RG_MARKER_6460"/>
      <w:r w:rsidRPr="00E57B96">
        <w:rPr>
          <w:rFonts w:ascii="Arial Narrow" w:eastAsia="Arial Narrow" w:hAnsi="Arial Narrow" w:cs="Arial Narrow"/>
          <w:b/>
          <w:bCs/>
          <w:sz w:val="16"/>
          <w:szCs w:val="16"/>
        </w:rPr>
        <w:t>43</w:t>
      </w:r>
      <w:bookmarkEnd w:id="1243"/>
      <w:bookmarkEnd w:id="1242"/>
      <w:r w:rsidRPr="00EA2F94">
        <w:rPr>
          <w:rFonts w:ascii="Arial Narrow" w:eastAsia="Arial Narrow" w:hAnsi="Arial Narrow" w:cs="Arial Narrow"/>
          <w:b/>
          <w:bCs/>
          <w:sz w:val="16"/>
          <w:szCs w:val="16"/>
        </w:rPr>
        <w:t>. Notikumi pēc pārskata perioda beigu datuma</w:t>
      </w:r>
    </w:p>
    <w:p w:rsidR="00EA2F94" w:rsidP="00EA2F94" w14:paraId="176FFA2F" w14:textId="77777777">
      <w:pPr>
        <w:spacing w:after="0" w:line="360" w:lineRule="auto"/>
        <w:jc w:val="both"/>
        <w:rPr>
          <w:rFonts w:ascii="Arial Narrow" w:eastAsia="Arial Narrow" w:hAnsi="Arial Narrow" w:cs="Arial Narrow"/>
          <w:sz w:val="16"/>
          <w:szCs w:val="16"/>
        </w:rPr>
      </w:pPr>
    </w:p>
    <w:p w:rsidR="00387E15" w:rsidRPr="00EA2F94" w:rsidP="00EA2F94" w14:paraId="4374AE0D" w14:textId="6508A35C">
      <w:pPr>
        <w:spacing w:after="0" w:line="360" w:lineRule="auto"/>
        <w:jc w:val="both"/>
        <w:rPr>
          <w:rFonts w:ascii="Arial Narrow" w:eastAsia="Arial Narrow" w:hAnsi="Arial Narrow" w:cs="Arial Narrow"/>
          <w:sz w:val="16"/>
          <w:szCs w:val="16"/>
        </w:rPr>
      </w:pPr>
      <w:r w:rsidRPr="00EA2F94">
        <w:rPr>
          <w:rFonts w:ascii="Arial Narrow" w:eastAsia="Arial Narrow" w:hAnsi="Arial Narrow" w:cs="Arial Narrow"/>
          <w:sz w:val="16"/>
          <w:szCs w:val="16"/>
        </w:rPr>
        <w:t>Kopš pārskata perioda beigu datuma ir bijuši vairāki būtiski notikumi:</w:t>
      </w:r>
    </w:p>
    <w:p w:rsidR="00EA2F94" w:rsidP="00EA2F94" w14:paraId="78F397E6" w14:textId="0BAED46F">
      <w:pPr>
        <w:spacing w:after="0" w:line="360" w:lineRule="auto"/>
        <w:jc w:val="both"/>
        <w:rPr>
          <w:rFonts w:ascii="Arial Narrow" w:eastAsia="Arial Narrow" w:hAnsi="Arial Narrow" w:cs="Arial Narrow"/>
          <w:sz w:val="16"/>
          <w:szCs w:val="16"/>
        </w:rPr>
      </w:pPr>
    </w:p>
    <w:p w:rsidR="00C75F93" w:rsidP="008044E5" w14:paraId="16A6975F" w14:textId="06618A6B">
      <w:pPr>
        <w:spacing w:after="0" w:line="360" w:lineRule="auto"/>
        <w:jc w:val="both"/>
        <w:rPr>
          <w:rFonts w:ascii="Arial Narrow" w:eastAsia="Arial Narrow" w:hAnsi="Arial Narrow" w:cs="Arial Narrow"/>
          <w:sz w:val="16"/>
          <w:szCs w:val="16"/>
        </w:rPr>
      </w:pPr>
      <w:r w:rsidRPr="00C75F93">
        <w:rPr>
          <w:rFonts w:ascii="Arial Narrow" w:eastAsia="Arial Narrow" w:hAnsi="Arial Narrow" w:cs="Arial Narrow"/>
          <w:sz w:val="16"/>
          <w:szCs w:val="16"/>
        </w:rPr>
        <w:t>2022. gadā Eiropas Savienība un citas valstis ir noteikušas daudzas nozīmīgas sankcijas pret Krieviju un Baltkrieviju, atsevišķiem Krievijas un Baltkrievijas uzņēmumiem, kompānijām citās jurisdikcijās, amatpersonām, uzņēmējiem un citām fiziskām personām sa</w:t>
      </w:r>
      <w:r w:rsidRPr="00C75F93">
        <w:rPr>
          <w:rFonts w:ascii="Arial Narrow" w:eastAsia="Arial Narrow" w:hAnsi="Arial Narrow" w:cs="Arial Narrow"/>
          <w:sz w:val="16"/>
          <w:szCs w:val="16"/>
        </w:rPr>
        <w:t xml:space="preserve">istībā ar Ukrainā notiekošo karu, kas sākās 2022. gada 24. februārī. Noteiktās sankcijas, ierobežojumi un militārās darbības rada ekonomisko nenoteiktību pasaulē un Latvijā. Pilnībā noteikto sankciju un ierobežojumu un militāro darbību ietekme uz Koncerna </w:t>
      </w:r>
      <w:r w:rsidRPr="00C75F93">
        <w:rPr>
          <w:rFonts w:ascii="Arial Narrow" w:eastAsia="Arial Narrow" w:hAnsi="Arial Narrow" w:cs="Arial Narrow"/>
          <w:sz w:val="16"/>
          <w:szCs w:val="16"/>
        </w:rPr>
        <w:t>darbību 2022.gadā nav pilnībā prognozējama, taču Koncerns uzskata, ka pēc finanšu pārskata datuma noteiktās sankcijas un ierobežojumi un militārās darbības būtiski neietekmēs Sabiedrības darbību tieši un netieši. Sabiedrības pieņēmums ir balstīts uz finanš</w:t>
      </w:r>
      <w:r w:rsidRPr="00C75F93">
        <w:rPr>
          <w:rFonts w:ascii="Arial Narrow" w:eastAsia="Arial Narrow" w:hAnsi="Arial Narrow" w:cs="Arial Narrow"/>
          <w:sz w:val="16"/>
          <w:szCs w:val="16"/>
        </w:rPr>
        <w:t xml:space="preserve">u pārskatu parakstīšanas brīdī pieejamo informāciju, un nākotnes notikumu ietekme uz Sabiedrības turpmāko darbību var atšķirties no Sabiedrības novērtējuma. </w:t>
      </w:r>
    </w:p>
    <w:p w:rsidR="00C75F93" w:rsidRPr="00C75F93" w:rsidP="00C75F93" w14:paraId="6707D37B" w14:textId="77777777">
      <w:pPr>
        <w:spacing w:after="0" w:line="360" w:lineRule="auto"/>
        <w:jc w:val="both"/>
        <w:rPr>
          <w:rFonts w:ascii="Arial Narrow" w:eastAsia="Arial Narrow" w:hAnsi="Arial Narrow" w:cs="Arial Narrow"/>
          <w:sz w:val="16"/>
          <w:szCs w:val="16"/>
        </w:rPr>
      </w:pPr>
    </w:p>
    <w:p w:rsidR="00341368" w:rsidP="008044E5" w14:paraId="1C489388" w14:textId="756C4A10">
      <w:pPr>
        <w:spacing w:after="0" w:line="360" w:lineRule="auto"/>
        <w:jc w:val="both"/>
        <w:rPr>
          <w:rFonts w:ascii="Arial Narrow" w:eastAsia="Arial Narrow" w:hAnsi="Arial Narrow" w:cs="Arial Narrow"/>
          <w:sz w:val="16"/>
          <w:szCs w:val="16"/>
        </w:rPr>
      </w:pPr>
      <w:r w:rsidRPr="008044E5">
        <w:rPr>
          <w:rFonts w:ascii="Arial Narrow" w:eastAsia="Arial Narrow" w:hAnsi="Arial Narrow" w:cs="Arial Narrow"/>
          <w:sz w:val="16"/>
          <w:szCs w:val="16"/>
        </w:rPr>
        <w:t xml:space="preserve">2022.gada aprīlī </w:t>
      </w:r>
      <w:r>
        <w:rPr>
          <w:rFonts w:ascii="Arial Narrow" w:eastAsia="Arial Narrow" w:hAnsi="Arial Narrow" w:cs="Arial Narrow"/>
          <w:sz w:val="16"/>
          <w:szCs w:val="16"/>
        </w:rPr>
        <w:t>koncerns</w:t>
      </w:r>
      <w:r w:rsidRPr="008044E5">
        <w:rPr>
          <w:rFonts w:ascii="Arial Narrow" w:eastAsia="Arial Narrow" w:hAnsi="Arial Narrow" w:cs="Arial Narrow"/>
          <w:sz w:val="16"/>
          <w:szCs w:val="16"/>
        </w:rPr>
        <w:t xml:space="preserve"> ir vei</w:t>
      </w:r>
      <w:r>
        <w:rPr>
          <w:rFonts w:ascii="Arial Narrow" w:eastAsia="Arial Narrow" w:hAnsi="Arial Narrow" w:cs="Arial Narrow"/>
          <w:sz w:val="16"/>
          <w:szCs w:val="16"/>
        </w:rPr>
        <w:t>cis</w:t>
      </w:r>
      <w:r w:rsidRPr="008044E5">
        <w:rPr>
          <w:rFonts w:ascii="Arial Narrow" w:eastAsia="Arial Narrow" w:hAnsi="Arial Narrow" w:cs="Arial Narrow"/>
          <w:sz w:val="16"/>
          <w:szCs w:val="16"/>
        </w:rPr>
        <w:t xml:space="preserve"> grozījumus AS "Citadele banka" izsniegtajā kredītlīnijā, kas </w:t>
      </w:r>
      <w:r w:rsidRPr="008044E5">
        <w:rPr>
          <w:rFonts w:ascii="Arial Narrow" w:eastAsia="Arial Narrow" w:hAnsi="Arial Narrow" w:cs="Arial Narrow"/>
          <w:sz w:val="16"/>
          <w:szCs w:val="16"/>
        </w:rPr>
        <w:t>piešķirta AS "mogo" (Latvija), AS "mogo LT" (Lietuva) un AS "mogo" (Igaunija), samazinot savu ekspozīciju līdz EUR 12 000 000. Pārējie nosacījumi palika nemainīgi.</w:t>
      </w:r>
    </w:p>
    <w:p w:rsidR="00C75F93" w:rsidRPr="00C75F93" w:rsidP="00C75F93" w14:paraId="664694D8" w14:textId="77777777">
      <w:pPr>
        <w:spacing w:after="0" w:line="360" w:lineRule="auto"/>
        <w:jc w:val="both"/>
        <w:rPr>
          <w:rFonts w:ascii="Arial Narrow" w:eastAsia="Arial Narrow" w:hAnsi="Arial Narrow" w:cs="Arial Narrow"/>
          <w:sz w:val="16"/>
          <w:szCs w:val="16"/>
        </w:rPr>
      </w:pPr>
    </w:p>
    <w:p w:rsidR="00C75F93" w:rsidP="00C75F93" w14:paraId="4D18608B" w14:textId="324900C2">
      <w:pPr>
        <w:spacing w:after="0" w:line="360" w:lineRule="auto"/>
        <w:jc w:val="both"/>
        <w:rPr>
          <w:rFonts w:ascii="Arial Narrow" w:eastAsia="Arial Narrow" w:hAnsi="Arial Narrow" w:cs="Arial Narrow"/>
          <w:sz w:val="16"/>
          <w:szCs w:val="16"/>
        </w:rPr>
      </w:pPr>
      <w:r w:rsidRPr="00C75F93">
        <w:rPr>
          <w:rFonts w:ascii="Arial Narrow" w:eastAsia="Arial Narrow" w:hAnsi="Arial Narrow" w:cs="Arial Narrow"/>
          <w:sz w:val="16"/>
          <w:szCs w:val="16"/>
        </w:rPr>
        <w:t>Laikā kopš pārskata perioda beigu datuma līdz konsoldēto finanšu pārskatu parakstīšanas dat</w:t>
      </w:r>
      <w:r w:rsidRPr="00C75F93">
        <w:rPr>
          <w:rFonts w:ascii="Arial Narrow" w:eastAsia="Arial Narrow" w:hAnsi="Arial Narrow" w:cs="Arial Narrow"/>
          <w:sz w:val="16"/>
          <w:szCs w:val="16"/>
        </w:rPr>
        <w:t>umam nav bijuši nekādi citi notikumi, kuru dēļ būtu nepieciešams veikt korekcijas konsoldētajos finanšu pārskatos vai atklāt informāciju to pielikumā.</w:t>
      </w:r>
    </w:p>
    <w:p w:rsidR="00EA2F94" w:rsidP="00EA2F94" w14:paraId="4AB28D46" w14:textId="77777777">
      <w:pPr>
        <w:spacing w:after="0" w:line="360" w:lineRule="auto"/>
        <w:jc w:val="both"/>
        <w:rPr>
          <w:rFonts w:ascii="Arial Narrow" w:eastAsia="Arial Narrow" w:hAnsi="Arial Narrow" w:cs="Arial Narrow"/>
          <w:sz w:val="16"/>
          <w:szCs w:val="16"/>
        </w:rPr>
      </w:pPr>
    </w:p>
    <w:p w:rsidR="00EA2F94" w:rsidP="00EA2F94" w14:paraId="59DECA80" w14:textId="1BD1DEA9">
      <w:pPr>
        <w:spacing w:after="0" w:line="360" w:lineRule="auto"/>
        <w:jc w:val="both"/>
        <w:rPr>
          <w:rFonts w:ascii="Arial Narrow" w:eastAsia="Arial Narrow" w:hAnsi="Arial Narrow" w:cs="Arial Narrow"/>
          <w:sz w:val="16"/>
          <w:szCs w:val="16"/>
        </w:rPr>
      </w:pPr>
      <w:r w:rsidRPr="000531C4">
        <w:rPr>
          <w:rFonts w:ascii="Arial Narrow" w:eastAsia="Arial Narrow" w:hAnsi="Arial Narrow" w:cs="Arial Narrow"/>
          <w:sz w:val="16"/>
          <w:szCs w:val="16"/>
        </w:rPr>
        <w:t xml:space="preserve">Koncerna vārdā 2022. gada </w:t>
      </w:r>
      <w:r>
        <w:rPr>
          <w:rFonts w:ascii="Arial Narrow" w:eastAsia="Arial Narrow" w:hAnsi="Arial Narrow" w:cs="Arial Narrow"/>
          <w:sz w:val="16"/>
          <w:szCs w:val="16"/>
        </w:rPr>
        <w:t>30</w:t>
      </w:r>
      <w:r w:rsidRPr="000531C4">
        <w:rPr>
          <w:rFonts w:ascii="Arial Narrow" w:eastAsia="Arial Narrow" w:hAnsi="Arial Narrow" w:cs="Arial Narrow"/>
          <w:sz w:val="16"/>
          <w:szCs w:val="16"/>
        </w:rPr>
        <w:t>. aprīlī konsolidētos finanšu pārskatus ir parakstījuši:</w:t>
      </w:r>
    </w:p>
    <w:p w:rsidR="00387E15" w:rsidRPr="00EA2F94" w:rsidP="00EA2F94" w14:paraId="46FB82B7" w14:textId="0E8D32B4">
      <w:pPr>
        <w:spacing w:after="0" w:line="360" w:lineRule="auto"/>
        <w:jc w:val="both"/>
        <w:rPr>
          <w:rFonts w:ascii="Arial Narrow" w:eastAsia="Arial Narrow" w:hAnsi="Arial Narrow" w:cs="Arial Narrow"/>
          <w:sz w:val="16"/>
          <w:szCs w:val="16"/>
        </w:rPr>
      </w:pPr>
      <w:r w:rsidRPr="00EA2F94">
        <w:rPr>
          <w:rFonts w:ascii="Arial Narrow" w:eastAsia="Arial Narrow" w:hAnsi="Arial Narrow" w:cs="Arial Narrow"/>
          <w:sz w:val="16"/>
          <w:szCs w:val="16"/>
        </w:rPr>
        <w:t xml:space="preserve">Krišjānis Znotiņš, </w:t>
      </w:r>
      <w:r w:rsidRPr="00EA2F94">
        <w:rPr>
          <w:rFonts w:ascii="Arial Narrow" w:eastAsia="Arial Narrow" w:hAnsi="Arial Narrow" w:cs="Arial Narrow"/>
          <w:sz w:val="16"/>
          <w:szCs w:val="16"/>
        </w:rPr>
        <w:t>Valdes priekšsēdētājs</w:t>
      </w:r>
    </w:p>
    <w:p w:rsidR="00387E15" w:rsidRPr="00EA2F94" w:rsidP="00EA2F94" w14:paraId="39D28617" w14:textId="3D5ABB6D">
      <w:pPr>
        <w:spacing w:after="0" w:line="360" w:lineRule="auto"/>
        <w:jc w:val="both"/>
        <w:rPr>
          <w:rFonts w:ascii="Arial Narrow" w:eastAsia="Arial Narrow" w:hAnsi="Arial Narrow" w:cs="Arial Narrow"/>
          <w:sz w:val="16"/>
          <w:szCs w:val="16"/>
        </w:rPr>
      </w:pPr>
      <w:r w:rsidRPr="00EA2F94">
        <w:rPr>
          <w:rFonts w:ascii="Arial Narrow" w:eastAsia="Arial Narrow" w:hAnsi="Arial Narrow" w:cs="Arial Narrow"/>
          <w:sz w:val="16"/>
          <w:szCs w:val="16"/>
        </w:rPr>
        <w:t>Aivis Lonskis, Valdes loceklis</w:t>
      </w:r>
    </w:p>
    <w:p w:rsidR="000540F6" w:rsidRPr="000531C4" w:rsidP="00EA2F94" w14:paraId="66D60480" w14:textId="3DEE0110">
      <w:pPr>
        <w:spacing w:after="0" w:line="360" w:lineRule="auto"/>
        <w:jc w:val="both"/>
        <w:rPr>
          <w:rFonts w:ascii="Arial Narrow" w:eastAsia="Arial Narrow" w:hAnsi="Arial Narrow" w:cs="Arial Narrow"/>
          <w:sz w:val="16"/>
          <w:szCs w:val="16"/>
        </w:rPr>
      </w:pPr>
      <w:r w:rsidRPr="000531C4">
        <w:rPr>
          <w:rFonts w:ascii="Arial Narrow" w:eastAsia="Arial Narrow" w:hAnsi="Arial Narrow" w:cs="Arial Narrow"/>
          <w:sz w:val="16"/>
          <w:szCs w:val="16"/>
        </w:rPr>
        <w:t>Laura Bunkša, Galvenā grāmatvede</w:t>
      </w:r>
    </w:p>
    <w:p w:rsidR="00EA2F94" w:rsidP="00EA2F94" w14:paraId="3CEBBA4A" w14:textId="70AF5E1C">
      <w:pPr>
        <w:spacing w:after="0" w:line="360" w:lineRule="auto"/>
        <w:jc w:val="both"/>
        <w:rPr>
          <w:rFonts w:ascii="Arial Narrow" w:eastAsia="Arial Narrow" w:hAnsi="Arial Narrow" w:cs="Arial Narrow"/>
          <w:sz w:val="16"/>
          <w:szCs w:val="16"/>
        </w:rPr>
      </w:pPr>
    </w:p>
    <w:p w:rsidR="00EA2F94" w:rsidRPr="002E1B23" w:rsidP="002E1B23" w14:paraId="225236DB" w14:textId="7E5BC9E8">
      <w:pPr>
        <w:spacing w:after="0"/>
        <w:jc w:val="center"/>
        <w:rPr>
          <w:rFonts w:ascii="Arial Narrow" w:eastAsia="Arial Narrow" w:hAnsi="Arial Narrow" w:cs="Arial Narrow"/>
          <w:sz w:val="16"/>
          <w:szCs w:val="16"/>
        </w:rPr>
        <w:sectPr w:rsidSect="00310E6B">
          <w:headerReference w:type="even" r:id="rId216"/>
          <w:headerReference w:type="default" r:id="rId217"/>
          <w:footerReference w:type="even" r:id="rId218"/>
          <w:footerReference w:type="default" r:id="rId219"/>
          <w:headerReference w:type="first" r:id="rId220"/>
          <w:footerReference w:type="first" r:id="rId221"/>
          <w:pgSz w:w="11906" w:h="16838"/>
          <w:pgMar w:top="1418" w:right="1134" w:bottom="851" w:left="1134" w:header="431" w:footer="431" w:gutter="0"/>
          <w:pgBorders w:zOrder="front" w:display="allPages" w:offsetFrom="text">
            <w:top w:val="nil"/>
            <w:left w:val="nil"/>
            <w:bottom w:val="nil"/>
            <w:right w:val="nil"/>
          </w:pgBorders>
          <w:cols w:space="720"/>
          <w:vAlign w:val="top"/>
          <w:titlePg w:val="0"/>
          <w:rtlGutter w:val="0"/>
          <w:docGrid w:linePitch="360"/>
        </w:sectPr>
      </w:pPr>
      <w:r>
        <w:rPr>
          <w:rFonts w:ascii="Arial Narrow" w:eastAsia="Arial Narrow" w:hAnsi="Arial Narrow" w:cs="Arial Narrow"/>
          <w:sz w:val="16"/>
          <w:szCs w:val="16"/>
        </w:rPr>
        <w:t>ŠIS DOKUMENTS IR PARAKSTĪTS AR DROŠU ELEKTRONISKO PARAKSTU UN SATUR LAIKA ZĪMOGU</w:t>
      </w:r>
    </w:p>
    <w:p w:rsidR="00165C4A" w:rsidP="00EC0DF6" w14:paraId="178C4311" w14:textId="63BF5F3B">
      <w:pPr>
        <w:pageBreakBefore/>
      </w:pPr>
      <w:bookmarkStart w:id="1244" w:name="RG_MARKER_6587"/>
      <w:bookmarkStart w:id="1245" w:name="RG_MARKER_6678"/>
      <w:r>
        <w:rPr>
          <w:noProof/>
        </w:rPr>
        <w:drawing>
          <wp:inline distT="0" distB="0" distL="0" distR="0">
            <wp:extent cx="5731510" cy="8106410"/>
            <wp:effectExtent l="0" t="0" r="254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92299" name="Picture 1"/>
                    <pic:cNvPicPr>
                      <a:picLocks noChangeAspect="1" noChangeArrowheads="1"/>
                    </pic:cNvPicPr>
                  </pic:nvPicPr>
                  <pic:blipFill>
                    <a:blip xmlns:r="http://schemas.openxmlformats.org/officeDocument/2006/relationships" r:embed="rId222"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5731510" cy="8106410"/>
                    </a:xfrm>
                    <a:prstGeom prst="rect">
                      <a:avLst/>
                    </a:prstGeom>
                    <a:noFill/>
                    <a:ln>
                      <a:noFill/>
                    </a:ln>
                  </pic:spPr>
                </pic:pic>
              </a:graphicData>
            </a:graphic>
          </wp:inline>
        </w:drawing>
      </w:r>
      <w:bookmarkEnd w:id="1245"/>
      <w:bookmarkEnd w:id="1244"/>
    </w:p>
    <w:p w:rsidR="00EC0DF6" w:rsidP="00EC0DF6" w14:paraId="3FB555D7" w14:textId="75C2BCB9">
      <w:r>
        <w:rPr>
          <w:noProof/>
        </w:rPr>
        <w:drawing>
          <wp:inline distT="0" distB="0" distL="0" distR="0">
            <wp:extent cx="5731510" cy="8106410"/>
            <wp:effectExtent l="0" t="0" r="254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306729" name="Picture 3"/>
                    <pic:cNvPicPr>
                      <a:picLocks noChangeAspect="1" noChangeArrowheads="1"/>
                    </pic:cNvPicPr>
                  </pic:nvPicPr>
                  <pic:blipFill>
                    <a:blip xmlns:r="http://schemas.openxmlformats.org/officeDocument/2006/relationships" r:embed="rId223"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5731510" cy="8106410"/>
                    </a:xfrm>
                    <a:prstGeom prst="rect">
                      <a:avLst/>
                    </a:prstGeom>
                    <a:noFill/>
                    <a:ln>
                      <a:noFill/>
                    </a:ln>
                  </pic:spPr>
                </pic:pic>
              </a:graphicData>
            </a:graphic>
          </wp:inline>
        </w:drawing>
      </w:r>
    </w:p>
    <w:p w:rsidR="00EC0DF6" w:rsidP="00EC0DF6" w14:paraId="4ACEF73F" w14:textId="492D2076">
      <w:r>
        <w:rPr>
          <w:noProof/>
        </w:rPr>
        <w:drawing>
          <wp:inline distT="0" distB="0" distL="0" distR="0">
            <wp:extent cx="5731510" cy="8106410"/>
            <wp:effectExtent l="0" t="0" r="254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243677" name="Picture 5"/>
                    <pic:cNvPicPr>
                      <a:picLocks noChangeAspect="1" noChangeArrowheads="1"/>
                    </pic:cNvPicPr>
                  </pic:nvPicPr>
                  <pic:blipFill>
                    <a:blip xmlns:r="http://schemas.openxmlformats.org/officeDocument/2006/relationships" r:embed="rId224"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5731510" cy="8106410"/>
                    </a:xfrm>
                    <a:prstGeom prst="rect">
                      <a:avLst/>
                    </a:prstGeom>
                    <a:noFill/>
                    <a:ln>
                      <a:noFill/>
                    </a:ln>
                  </pic:spPr>
                </pic:pic>
              </a:graphicData>
            </a:graphic>
          </wp:inline>
        </w:drawing>
      </w:r>
    </w:p>
    <w:p w:rsidR="00EC0DF6" w:rsidP="00EC0DF6" w14:paraId="63431F6A" w14:textId="15FB5918">
      <w:r>
        <w:rPr>
          <w:noProof/>
        </w:rPr>
        <w:drawing>
          <wp:inline distT="0" distB="0" distL="0" distR="0">
            <wp:extent cx="5731510" cy="8106410"/>
            <wp:effectExtent l="0" t="0" r="2540" b="889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1796443" name="Picture 7"/>
                    <pic:cNvPicPr>
                      <a:picLocks noChangeAspect="1" noChangeArrowheads="1"/>
                    </pic:cNvPicPr>
                  </pic:nvPicPr>
                  <pic:blipFill>
                    <a:blip xmlns:r="http://schemas.openxmlformats.org/officeDocument/2006/relationships" r:embed="rId225"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5731510" cy="8106410"/>
                    </a:xfrm>
                    <a:prstGeom prst="rect">
                      <a:avLst/>
                    </a:prstGeom>
                    <a:noFill/>
                    <a:ln>
                      <a:noFill/>
                    </a:ln>
                  </pic:spPr>
                </pic:pic>
              </a:graphicData>
            </a:graphic>
          </wp:inline>
        </w:drawing>
      </w:r>
    </w:p>
    <w:p w:rsidR="00EC0DF6" w:rsidP="00EC0DF6" w14:paraId="6695AC95" w14:textId="46F09A9C">
      <w:r>
        <w:rPr>
          <w:noProof/>
        </w:rPr>
        <w:drawing>
          <wp:inline distT="0" distB="0" distL="0" distR="0">
            <wp:extent cx="5731510" cy="8106410"/>
            <wp:effectExtent l="0" t="0" r="2540" b="889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507498" name="Picture 9"/>
                    <pic:cNvPicPr>
                      <a:picLocks noChangeAspect="1" noChangeArrowheads="1"/>
                    </pic:cNvPicPr>
                  </pic:nvPicPr>
                  <pic:blipFill>
                    <a:blip xmlns:r="http://schemas.openxmlformats.org/officeDocument/2006/relationships" r:embed="rId226"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5731510" cy="8106410"/>
                    </a:xfrm>
                    <a:prstGeom prst="rect">
                      <a:avLst/>
                    </a:prstGeom>
                    <a:noFill/>
                    <a:ln>
                      <a:noFill/>
                    </a:ln>
                  </pic:spPr>
                </pic:pic>
              </a:graphicData>
            </a:graphic>
          </wp:inline>
        </w:drawing>
      </w:r>
    </w:p>
    <w:p w:rsidR="00EC0DF6" w:rsidP="00EC0DF6" w14:paraId="176830C9" w14:textId="0711DCEC">
      <w:r>
        <w:rPr>
          <w:noProof/>
        </w:rPr>
        <w:drawing>
          <wp:inline distT="0" distB="0" distL="0" distR="0">
            <wp:extent cx="5731510" cy="8106410"/>
            <wp:effectExtent l="0" t="0" r="2540"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7360944" name="Picture 11"/>
                    <pic:cNvPicPr>
                      <a:picLocks noChangeAspect="1" noChangeArrowheads="1"/>
                    </pic:cNvPicPr>
                  </pic:nvPicPr>
                  <pic:blipFill>
                    <a:blip xmlns:r="http://schemas.openxmlformats.org/officeDocument/2006/relationships" r:embed="rId227"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5731510" cy="8106410"/>
                    </a:xfrm>
                    <a:prstGeom prst="rect">
                      <a:avLst/>
                    </a:prstGeom>
                    <a:noFill/>
                    <a:ln>
                      <a:noFill/>
                    </a:ln>
                  </pic:spPr>
                </pic:pic>
              </a:graphicData>
            </a:graphic>
          </wp:inline>
        </w:drawing>
      </w:r>
    </w:p>
    <w:p w:rsidR="00EC0DF6" w:rsidP="00EC0DF6" w14:paraId="5354F86A" w14:textId="72C6B5AB">
      <w:r>
        <w:rPr>
          <w:noProof/>
        </w:rPr>
        <w:drawing>
          <wp:inline distT="0" distB="0" distL="0" distR="0">
            <wp:extent cx="5731510" cy="8106410"/>
            <wp:effectExtent l="0" t="0" r="2540" b="889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032185" name="Picture 13"/>
                    <pic:cNvPicPr>
                      <a:picLocks noChangeAspect="1" noChangeArrowheads="1"/>
                    </pic:cNvPicPr>
                  </pic:nvPicPr>
                  <pic:blipFill>
                    <a:blip xmlns:r="http://schemas.openxmlformats.org/officeDocument/2006/relationships" r:embed="rId228"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5731510" cy="8106410"/>
                    </a:xfrm>
                    <a:prstGeom prst="rect">
                      <a:avLst/>
                    </a:prstGeom>
                    <a:noFill/>
                    <a:ln>
                      <a:noFill/>
                    </a:ln>
                  </pic:spPr>
                </pic:pic>
              </a:graphicData>
            </a:graphic>
          </wp:inline>
        </w:drawing>
      </w:r>
    </w:p>
    <w:p w:rsidR="00EC0DF6" w:rsidP="00EC0DF6" w14:paraId="4C3451D0" w14:textId="4C27ADB4">
      <w:r>
        <w:rPr>
          <w:noProof/>
        </w:rPr>
        <w:drawing>
          <wp:inline distT="0" distB="0" distL="0" distR="0">
            <wp:extent cx="5731510" cy="8106410"/>
            <wp:effectExtent l="0" t="0" r="2540" b="889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7757227" name="Picture 15"/>
                    <pic:cNvPicPr>
                      <a:picLocks noChangeAspect="1" noChangeArrowheads="1"/>
                    </pic:cNvPicPr>
                  </pic:nvPicPr>
                  <pic:blipFill>
                    <a:blip xmlns:r="http://schemas.openxmlformats.org/officeDocument/2006/relationships" r:embed="rId229"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5731510" cy="8106410"/>
                    </a:xfrm>
                    <a:prstGeom prst="rect">
                      <a:avLst/>
                    </a:prstGeom>
                    <a:noFill/>
                    <a:ln>
                      <a:noFill/>
                    </a:ln>
                  </pic:spPr>
                </pic:pic>
              </a:graphicData>
            </a:graphic>
          </wp:inline>
        </w:drawing>
      </w:r>
    </w:p>
    <w:p w:rsidR="00EC0DF6" w:rsidP="00EC0DF6" w14:paraId="293FC09D" w14:textId="1BCF4A2A">
      <w:r>
        <w:rPr>
          <w:noProof/>
        </w:rPr>
        <w:drawing>
          <wp:inline distT="0" distB="0" distL="0" distR="0">
            <wp:extent cx="5731510" cy="8106410"/>
            <wp:effectExtent l="0" t="0" r="2540"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8480584" name="Picture 17"/>
                    <pic:cNvPicPr>
                      <a:picLocks noChangeAspect="1" noChangeArrowheads="1"/>
                    </pic:cNvPicPr>
                  </pic:nvPicPr>
                  <pic:blipFill>
                    <a:blip xmlns:r="http://schemas.openxmlformats.org/officeDocument/2006/relationships" r:embed="rId230"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5731510" cy="8106410"/>
                    </a:xfrm>
                    <a:prstGeom prst="rect">
                      <a:avLst/>
                    </a:prstGeom>
                    <a:noFill/>
                    <a:ln>
                      <a:noFill/>
                    </a:ln>
                  </pic:spPr>
                </pic:pic>
              </a:graphicData>
            </a:graphic>
          </wp:inline>
        </w:drawing>
      </w:r>
    </w:p>
    <w:p w:rsidR="00EC0DF6" w:rsidP="00EC0DF6" w14:paraId="7A5CE3BA" w14:textId="56547571">
      <w:r>
        <w:rPr>
          <w:noProof/>
        </w:rPr>
        <w:drawing>
          <wp:inline distT="0" distB="0" distL="0" distR="0">
            <wp:extent cx="5731510" cy="8106410"/>
            <wp:effectExtent l="0" t="0" r="2540" b="889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4536407" name="Picture 19"/>
                    <pic:cNvPicPr>
                      <a:picLocks noChangeAspect="1" noChangeArrowheads="1"/>
                    </pic:cNvPicPr>
                  </pic:nvPicPr>
                  <pic:blipFill>
                    <a:blip xmlns:r="http://schemas.openxmlformats.org/officeDocument/2006/relationships" r:embed="rId231"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5731510" cy="8106410"/>
                    </a:xfrm>
                    <a:prstGeom prst="rect">
                      <a:avLst/>
                    </a:prstGeom>
                    <a:noFill/>
                    <a:ln>
                      <a:noFill/>
                    </a:ln>
                  </pic:spPr>
                </pic:pic>
              </a:graphicData>
            </a:graphic>
          </wp:inline>
        </w:drawing>
      </w:r>
    </w:p>
    <w:p w:rsidR="00EC0DF6" w:rsidRPr="00EC0DF6" w:rsidP="00EC0DF6" w14:paraId="012A562F" w14:textId="751C1862">
      <w:r>
        <w:rPr>
          <w:noProof/>
        </w:rPr>
        <w:drawing>
          <wp:inline distT="0" distB="0" distL="0" distR="0">
            <wp:extent cx="5731510" cy="8106410"/>
            <wp:effectExtent l="0" t="0" r="2540" b="889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628339" name="Picture 21"/>
                    <pic:cNvPicPr>
                      <a:picLocks noChangeAspect="1" noChangeArrowheads="1"/>
                    </pic:cNvPicPr>
                  </pic:nvPicPr>
                  <pic:blipFill>
                    <a:blip xmlns:r="http://schemas.openxmlformats.org/officeDocument/2006/relationships" r:embed="rId232" cstate="print">
                      <a:extLst>
                        <a:ext xmlns:a="http://schemas.openxmlformats.org/drawingml/2006/main" uri="{28A0092B-C50C-407E-A947-70E740481C1C}">
                          <a14:useLocalDpi xmlns:a14="http://schemas.microsoft.com/office/drawing/2010/main" val="0"/>
                        </a:ext>
                      </a:extLst>
                    </a:blip>
                    <a:stretch>
                      <a:fillRect/>
                    </a:stretch>
                  </pic:blipFill>
                  <pic:spPr bwMode="auto">
                    <a:xfrm>
                      <a:off x="0" y="0"/>
                      <a:ext cx="5731510" cy="8106410"/>
                    </a:xfrm>
                    <a:prstGeom prst="rect">
                      <a:avLst/>
                    </a:prstGeom>
                    <a:noFill/>
                    <a:ln>
                      <a:noFill/>
                    </a:ln>
                  </pic:spPr>
                </pic:pic>
              </a:graphicData>
            </a:graphic>
          </wp:inline>
        </w:drawing>
      </w:r>
    </w:p>
    <w:sectPr w:rsidSect="00165C4A">
      <w:headerReference w:type="even" r:id="rId233"/>
      <w:headerReference w:type="default" r:id="rId234"/>
      <w:footerReference w:type="even" r:id="rId235"/>
      <w:footerReference w:type="default" r:id="rId236"/>
      <w:headerReference w:type="first" r:id="rId237"/>
      <w:footerReference w:type="first" r:id="rId238"/>
      <w:type w:val="continuous"/>
      <w:pgSz w:w="11906" w:h="16838"/>
      <w:pgMar w:top="1440" w:right="1440" w:bottom="1440" w:left="1440" w:header="431" w:footer="431" w:gutter="0"/>
      <w:pgBorders w:zOrder="front" w:display="allPages" w:offsetFrom="text">
        <w:top w:val="nil"/>
        <w:left w:val="nil"/>
        <w:bottom w:val="nil"/>
        <w:right w:val="nil"/>
      </w:pgBorders>
      <w:cols w:space="720"/>
      <w:vAlign w:val="top"/>
      <w:titlePg w:val="0"/>
      <w:rtlGutter w:val="0"/>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FK Display">
    <w:altName w:val="Calibri"/>
    <w:charset w:val="4D"/>
    <w:family w:val="auto"/>
    <w:pitch w:val="variable"/>
    <w:sig w:usb0="00000007" w:usb1="00000000" w:usb2="00000000" w:usb3="00000000" w:csb0="00000093"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10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10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84</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10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10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10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91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10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10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10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93</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10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10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8</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1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104</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1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17</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18</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pPr>
      <w:suppressLineNumbers/>
      <w:spacing w:before="0" w:beforeAutospacing="0" w:after="0" w:afterAutospacing="0" w:line="14" w:lineRule="exact"/>
      <w:contextualSpacing/>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19</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21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22</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23</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25</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3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26</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3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3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3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28</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3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paraId="2F225DA3"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4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4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30</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4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4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4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31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4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4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4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33</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4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4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paraId="2F225DA3"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5</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5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34</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5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5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5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35</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5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5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5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36</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5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5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5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37</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6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6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6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39</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6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6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6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40</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6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6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6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42</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6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7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7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43</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7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7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7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44</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7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7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7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45</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7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7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7</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8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46</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8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8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8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48</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8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8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8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50</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8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8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8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51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9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9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9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64</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9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9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9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78</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9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footer9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1</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9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rsidRPr="00CA5AAC" w:rsidP="00CA5AAC" w14:textId="3359DDC7">
    <w:pPr>
      <w:keepNext w:val="0"/>
      <w:keepLines/>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right"/>
      <w:outlineLvl w:val="9"/>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pP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begin"/>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instrText xml:space="preserve"> PAGE   \* MERGEFORMAT </w:instrText>
    </w:r>
    <w:r w:rsidRPr="00CA5AAC">
      <w:rPr>
        <w:rFonts w:ascii="Arial Narrow" w:eastAsia="Calibri" w:hAnsi="Arial Narrow" w:cs="Arial"/>
        <w:b w:val="0"/>
        <w:bCs w:val="0"/>
        <w:i w:val="0"/>
        <w:iCs w:val="0"/>
        <w:caps w:val="0"/>
        <w:smallCaps w:val="0"/>
        <w:strike w:val="0"/>
        <w:dstrike w:val="0"/>
        <w:outline w:val="0"/>
        <w:shadow w:val="0"/>
        <w:emboss w:val="0"/>
        <w:imprint w:val="0"/>
        <w:noProof w:val="0"/>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separate"/>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t>80</w:t>
    </w:r>
    <w:r w:rsidRPr="00CA5AAC">
      <w:rPr>
        <w:rFonts w:ascii="Arial Narrow" w:eastAsia="Calibri" w:hAnsi="Arial Narrow" w:cs="Arial"/>
        <w:b w:val="0"/>
        <w:bCs w:val="0"/>
        <w:i w:val="0"/>
        <w:iCs w:val="0"/>
        <w:caps w:val="0"/>
        <w:smallCaps w:val="0"/>
        <w:strike w:val="0"/>
        <w:dstrike w:val="0"/>
        <w:outline w:val="0"/>
        <w:shadow w:val="0"/>
        <w:emboss w:val="0"/>
        <w:imprint w:val="0"/>
        <w:noProof/>
        <w:vanish w:val="0"/>
        <w:color w:val="auto"/>
        <w:spacing w:val="0"/>
        <w:w w:val="100"/>
        <w:kern w:val="0"/>
        <w:position w:val="0"/>
        <w:sz w:val="16"/>
        <w:szCs w:val="16"/>
        <w:highlight w:val="none"/>
        <w:u w:val="none"/>
        <w:effect w:val="none"/>
        <w:bdr w:val="none" w:sz="0" w:space="0" w:color="auto"/>
        <w:shd w:val="clear" w:color="auto" w:fill="auto"/>
        <w:vertAlign w:val="baseline"/>
        <w:rtl w:val="0"/>
        <w:cs w:val="0"/>
        <w:lang w:val="en-US" w:eastAsia="en-US" w:bidi="ar-SA"/>
      </w:rPr>
      <w:fldChar w:fldCharType="end"/>
    </w:r>
  </w:p>
</w:ftr>
</file>

<file path=word/footer9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paraId="01971CE3"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paraId="1D3BE3A5"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paraId="4C5D53C5"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10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10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10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10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10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10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10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10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10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10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left"/>
      <w:outlineLvl w:val="9"/>
      <w:rPr>
        <w:rFonts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1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D86095">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200" w:afterAutospacing="0" w:line="276" w:lineRule="auto"/>
      <w:ind w:left="0" w:right="0" w:firstLine="0"/>
      <w:contextualSpacing w:val="0"/>
      <w:jc w:val="left"/>
      <w:outlineLvl w:val="9"/>
      <w:rPr>
        <w:rFonts w:cs="Arial"/>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p>
</w:hdr>
</file>

<file path=word/header1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paraId="01971CE3"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paraId="1D3BE3A5"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paraId="4C5D53C5"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3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3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3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4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4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4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4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4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4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4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4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4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4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5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5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5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5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5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5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5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5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5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5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6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6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6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6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6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6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6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6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6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6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7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7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7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7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7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7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7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7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7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7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8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8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8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8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8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8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8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8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8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8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9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9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9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9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9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9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9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header9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9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FF68BD" w:rsidP="00FF68BD" w14:textId="030852E6">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AS mogo k</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onsolidētais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gada pārskats par gadu, kas noslēdzas 2021. gada 31, decembrī</w:t>
    </w:r>
  </w:p>
  <w:p w:rsidR="00FF68BD" w:rsidP="00FF68BD" w14:textId="77777777">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0" w:afterAutospacing="0" w:line="254" w:lineRule="auto"/>
      <w:ind w:left="-851" w:right="0" w:firstLine="0"/>
      <w:contextualSpacing w:val="0"/>
      <w:jc w:val="right"/>
      <w:outlineLvl w:val="9"/>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Adrese: Skanstes iela 52, Rīga, Latvija</w:t>
    </w:r>
  </w:p>
  <w:p w:rsidR="003D022C" w:rsidRPr="00FF68BD" w:rsidP="00FF68BD" w14:textId="1D98E6BE">
    <w:pPr>
      <w:keepNext w:val="0"/>
      <w:keepLines w:val="0"/>
      <w:pageBreakBefore w:val="0"/>
      <w:framePr w:lines="0"/>
      <w:widowControl/>
      <w:numPr>
        <w:ilvl w:val="0"/>
        <w:numId w:val="0"/>
      </w:numPr>
      <w:suppressLineNumbers w:val="0"/>
      <w:pBdr>
        <w:top w:val="none" w:sz="0" w:space="0" w:color="auto"/>
        <w:left w:val="none" w:sz="0" w:space="0" w:color="auto"/>
        <w:bottom w:val="none" w:sz="0" w:space="0" w:color="auto"/>
        <w:right w:val="none" w:sz="0" w:space="0" w:color="auto"/>
        <w:between w:val="none" w:sz="0" w:space="0" w:color="auto"/>
        <w:bar w:val="none" w:sz="0" w:space="0" w:color="auto"/>
      </w:pBdr>
      <w:shd w:val="clear" w:color="auto" w:fill="auto"/>
      <w:suppressAutoHyphens w:val="0"/>
      <w:bidi w:val="0"/>
      <w:spacing w:before="0" w:beforeAutospacing="0" w:after="160" w:afterAutospacing="0" w:line="254" w:lineRule="auto"/>
      <w:ind w:left="0" w:right="0" w:firstLine="0"/>
      <w:contextualSpacing w:val="0"/>
      <w:jc w:val="right"/>
      <w:outlineLvl w:val="9"/>
      <w:rPr>
        <w:rFonts w:ascii="Calibri" w:eastAsia="Calibri" w:hAnsi="Calibri" w:cs="Times New Roman"/>
        <w:b w:val="0"/>
        <w:bCs w:val="0"/>
        <w:i w:val="0"/>
        <w:iCs w:val="0"/>
        <w:caps w:val="0"/>
        <w:smallCaps w:val="0"/>
        <w:strike w:val="0"/>
        <w:dstrike w:val="0"/>
        <w:outline w:val="0"/>
        <w:shadow w:val="0"/>
        <w:emboss w:val="0"/>
        <w:imprint w:val="0"/>
        <w:noProof w:val="0"/>
        <w:vanish w:val="0"/>
        <w:color w:val="auto"/>
        <w:spacing w:val="0"/>
        <w:w w:val="100"/>
        <w:kern w:val="0"/>
        <w:position w:val="0"/>
        <w:sz w:val="22"/>
        <w:szCs w:val="22"/>
        <w:highlight w:val="none"/>
        <w:u w:val="none"/>
        <w:effect w:val="none"/>
        <w:bdr w:val="none" w:sz="0" w:space="0" w:color="auto"/>
        <w:shd w:val="clear" w:color="auto" w:fill="auto"/>
        <w:vertAlign w:val="baseline"/>
        <w:rtl w:val="0"/>
        <w:cs w:val="0"/>
        <w:lang w:val="en-US" w:eastAsia="en-US" w:bidi="ar-SA"/>
      </w:rPr>
    </w:pP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 xml:space="preserve">Vienotais </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r</w:t>
    </w:r>
    <w:r>
      <w:rPr>
        <w:rFonts w:ascii="Arial Narrow" w:eastAsia="Times New Roman" w:hAnsi="Arial Narrow" w:cs="Calibri"/>
        <w:b w:val="0"/>
        <w:bCs w:val="0"/>
        <w:i w:val="0"/>
        <w:iCs w:val="0"/>
        <w:caps w:val="0"/>
        <w:smallCaps w:val="0"/>
        <w:strike w:val="0"/>
        <w:dstrike w:val="0"/>
        <w:outline w:val="0"/>
        <w:shadow w:val="0"/>
        <w:emboss w:val="0"/>
        <w:imprint w:val="0"/>
        <w:noProof w:val="0"/>
        <w:vanish w:val="0"/>
        <w:color w:val="000000"/>
        <w:spacing w:val="0"/>
        <w:w w:val="100"/>
        <w:kern w:val="0"/>
        <w:position w:val="0"/>
        <w:sz w:val="16"/>
        <w:szCs w:val="16"/>
        <w:highlight w:val="none"/>
        <w:u w:val="none"/>
        <w:effect w:val="none"/>
        <w:bdr w:val="none" w:sz="0" w:space="0" w:color="auto"/>
        <w:shd w:val="clear" w:color="auto" w:fill="auto"/>
        <w:vertAlign w:val="baseline"/>
        <w:rtl w:val="0"/>
        <w:cs w:val="0"/>
        <w:lang w:val="lv-LV" w:eastAsia="en-US" w:bidi="ar-SA"/>
      </w:rPr>
      <w:t>eģistrācijas numurs: 50103541751</w:t>
    </w:r>
  </w:p>
</w:hdr>
</file>

<file path=word/header9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392511BC"/>
    <w:multiLevelType w:val="hybridMultilevel"/>
    <w:tmpl w:val="B9346F82"/>
    <w:lvl w:ilvl="0">
      <w:start w:val="1"/>
      <w:numFmt w:val="decimal"/>
      <w:lvlText w:val="%1)"/>
      <w:lvlJc w:val="left"/>
      <w:pPr>
        <w:ind w:left="720" w:hanging="360"/>
      </w:pPr>
      <w:rPr>
        <w:rFonts w:ascii="Arial Narrow" w:hAnsi="Arial Narrow" w:eastAsiaTheme="minorHAnsi" w:cstheme="minorBidi"/>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
    <w:nsid w:val="3C5A19DB"/>
    <w:multiLevelType w:val="hybridMultilevel"/>
    <w:tmpl w:val="5CBE4A10"/>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2">
    <w:nsid w:val="642B1724"/>
    <w:multiLevelType w:val="hybridMultilevel"/>
    <w:tmpl w:val="D2C2DAEA"/>
    <w:lvl w:ilvl="0">
      <w:start w:val="1"/>
      <w:numFmt w:val="decimal"/>
      <w:lvlText w:val="%1)"/>
      <w:lvlJc w:val="left"/>
      <w:pPr>
        <w:ind w:left="756" w:hanging="360"/>
      </w:pPr>
    </w:lvl>
    <w:lvl w:ilvl="1" w:tentative="1">
      <w:start w:val="1"/>
      <w:numFmt w:val="lowerLetter"/>
      <w:lvlText w:val="%2."/>
      <w:lvlJc w:val="left"/>
      <w:pPr>
        <w:ind w:left="1476" w:hanging="360"/>
      </w:pPr>
    </w:lvl>
    <w:lvl w:ilvl="2" w:tentative="1">
      <w:start w:val="1"/>
      <w:numFmt w:val="lowerRoman"/>
      <w:lvlText w:val="%3."/>
      <w:lvlJc w:val="right"/>
      <w:pPr>
        <w:ind w:left="2196" w:hanging="180"/>
      </w:pPr>
    </w:lvl>
    <w:lvl w:ilvl="3" w:tentative="1">
      <w:start w:val="1"/>
      <w:numFmt w:val="decimal"/>
      <w:lvlText w:val="%4."/>
      <w:lvlJc w:val="left"/>
      <w:pPr>
        <w:ind w:left="2916" w:hanging="360"/>
      </w:pPr>
    </w:lvl>
    <w:lvl w:ilvl="4" w:tentative="1">
      <w:start w:val="1"/>
      <w:numFmt w:val="lowerLetter"/>
      <w:lvlText w:val="%5."/>
      <w:lvlJc w:val="left"/>
      <w:pPr>
        <w:ind w:left="3636" w:hanging="360"/>
      </w:pPr>
    </w:lvl>
    <w:lvl w:ilvl="5" w:tentative="1">
      <w:start w:val="1"/>
      <w:numFmt w:val="lowerRoman"/>
      <w:lvlText w:val="%6."/>
      <w:lvlJc w:val="right"/>
      <w:pPr>
        <w:ind w:left="4356" w:hanging="180"/>
      </w:pPr>
    </w:lvl>
    <w:lvl w:ilvl="6" w:tentative="1">
      <w:start w:val="1"/>
      <w:numFmt w:val="decimal"/>
      <w:lvlText w:val="%7."/>
      <w:lvlJc w:val="left"/>
      <w:pPr>
        <w:ind w:left="5076" w:hanging="360"/>
      </w:pPr>
    </w:lvl>
    <w:lvl w:ilvl="7" w:tentative="1">
      <w:start w:val="1"/>
      <w:numFmt w:val="lowerLetter"/>
      <w:lvlText w:val="%8."/>
      <w:lvlJc w:val="left"/>
      <w:pPr>
        <w:ind w:left="5796" w:hanging="360"/>
      </w:pPr>
    </w:lvl>
    <w:lvl w:ilvl="8" w:tentative="1">
      <w:start w:val="1"/>
      <w:numFmt w:val="lowerRoman"/>
      <w:lvlText w:val="%9."/>
      <w:lvlJc w:val="right"/>
      <w:pPr>
        <w:ind w:left="6516" w:hanging="180"/>
      </w:pPr>
    </w:lvl>
  </w:abstractNum>
  <w:abstractNum w:abstractNumId="3">
    <w:nsid w:val="7F8A2D90"/>
    <w:multiLevelType w:val="hybridMultilevel"/>
    <w:tmpl w:val="BA668424"/>
    <w:lvl w:ilvl="0">
      <w:start w:val="1"/>
      <w:numFmt w:val="bullet"/>
      <w:lvlText w:val=""/>
      <w:lvlJc w:val="left"/>
      <w:pPr>
        <w:ind w:left="720" w:hanging="360"/>
      </w:pPr>
      <w:rPr>
        <w:rFonts w:ascii="Symbol" w:hAnsi="Symbol" w:hint="default"/>
      </w:rPr>
    </w:lvl>
    <w:lvl w:ilvl="1">
      <w:start w:val="0"/>
      <w:numFmt w:val="bullet"/>
      <w:lvlText w:val="•"/>
      <w:lvlJc w:val="left"/>
      <w:pPr>
        <w:ind w:left="1440" w:hanging="360"/>
      </w:pPr>
      <w:rPr>
        <w:rFonts w:ascii="Arial Narrow" w:hAnsi="Arial Narrow" w:eastAsiaTheme="minorHAnsi" w:cstheme="minorBidi"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2D7D"/>
    <w:rsid w:val="000021E1"/>
    <w:rsid w:val="00005D0D"/>
    <w:rsid w:val="00012490"/>
    <w:rsid w:val="00014631"/>
    <w:rsid w:val="0001678E"/>
    <w:rsid w:val="000448EE"/>
    <w:rsid w:val="00044FAC"/>
    <w:rsid w:val="000524FC"/>
    <w:rsid w:val="000531C4"/>
    <w:rsid w:val="000540F6"/>
    <w:rsid w:val="000562C8"/>
    <w:rsid w:val="000641FA"/>
    <w:rsid w:val="0006435B"/>
    <w:rsid w:val="000675CC"/>
    <w:rsid w:val="000A1C03"/>
    <w:rsid w:val="000B2ACC"/>
    <w:rsid w:val="000B3880"/>
    <w:rsid w:val="000C10DB"/>
    <w:rsid w:val="000C3601"/>
    <w:rsid w:val="000D0C46"/>
    <w:rsid w:val="000D24F8"/>
    <w:rsid w:val="000D651A"/>
    <w:rsid w:val="000D70C7"/>
    <w:rsid w:val="000E04AA"/>
    <w:rsid w:val="000F59A4"/>
    <w:rsid w:val="0010780A"/>
    <w:rsid w:val="00113339"/>
    <w:rsid w:val="00122276"/>
    <w:rsid w:val="001235F8"/>
    <w:rsid w:val="00133DD8"/>
    <w:rsid w:val="001366A2"/>
    <w:rsid w:val="00137AFB"/>
    <w:rsid w:val="00140CE4"/>
    <w:rsid w:val="001415E4"/>
    <w:rsid w:val="00141936"/>
    <w:rsid w:val="0014523D"/>
    <w:rsid w:val="00146635"/>
    <w:rsid w:val="00156674"/>
    <w:rsid w:val="00165C4A"/>
    <w:rsid w:val="00170F4E"/>
    <w:rsid w:val="00172214"/>
    <w:rsid w:val="00185E68"/>
    <w:rsid w:val="001910AD"/>
    <w:rsid w:val="0019308E"/>
    <w:rsid w:val="001A00C5"/>
    <w:rsid w:val="001A482C"/>
    <w:rsid w:val="001B031B"/>
    <w:rsid w:val="001B5097"/>
    <w:rsid w:val="001C0503"/>
    <w:rsid w:val="001C305B"/>
    <w:rsid w:val="001C5198"/>
    <w:rsid w:val="001C65AF"/>
    <w:rsid w:val="001C6C9F"/>
    <w:rsid w:val="001D18D8"/>
    <w:rsid w:val="001D555E"/>
    <w:rsid w:val="001E4DA8"/>
    <w:rsid w:val="001E6DAA"/>
    <w:rsid w:val="001F32D7"/>
    <w:rsid w:val="001F39FC"/>
    <w:rsid w:val="001F43EB"/>
    <w:rsid w:val="001F5954"/>
    <w:rsid w:val="001F704B"/>
    <w:rsid w:val="00202863"/>
    <w:rsid w:val="002062D9"/>
    <w:rsid w:val="00224543"/>
    <w:rsid w:val="002358B4"/>
    <w:rsid w:val="00242082"/>
    <w:rsid w:val="002471BD"/>
    <w:rsid w:val="00250620"/>
    <w:rsid w:val="00277940"/>
    <w:rsid w:val="002810E8"/>
    <w:rsid w:val="00282E7E"/>
    <w:rsid w:val="002A0DD1"/>
    <w:rsid w:val="002A24B4"/>
    <w:rsid w:val="002A7E5B"/>
    <w:rsid w:val="002B0B40"/>
    <w:rsid w:val="002C0C9D"/>
    <w:rsid w:val="002E1B23"/>
    <w:rsid w:val="002F2103"/>
    <w:rsid w:val="002F66D3"/>
    <w:rsid w:val="00301A79"/>
    <w:rsid w:val="0030301A"/>
    <w:rsid w:val="0030541B"/>
    <w:rsid w:val="00306907"/>
    <w:rsid w:val="00310E6B"/>
    <w:rsid w:val="00317CEF"/>
    <w:rsid w:val="003203B8"/>
    <w:rsid w:val="00326750"/>
    <w:rsid w:val="00331FD4"/>
    <w:rsid w:val="00333123"/>
    <w:rsid w:val="00341368"/>
    <w:rsid w:val="00346137"/>
    <w:rsid w:val="0035517A"/>
    <w:rsid w:val="00375530"/>
    <w:rsid w:val="00381247"/>
    <w:rsid w:val="003831B2"/>
    <w:rsid w:val="00386375"/>
    <w:rsid w:val="00387E15"/>
    <w:rsid w:val="00395E3A"/>
    <w:rsid w:val="003B2972"/>
    <w:rsid w:val="003B35F5"/>
    <w:rsid w:val="003B4B03"/>
    <w:rsid w:val="003D022C"/>
    <w:rsid w:val="003D7812"/>
    <w:rsid w:val="003E3A3E"/>
    <w:rsid w:val="003E6728"/>
    <w:rsid w:val="003E6D4C"/>
    <w:rsid w:val="003F5438"/>
    <w:rsid w:val="00417ABE"/>
    <w:rsid w:val="0043047F"/>
    <w:rsid w:val="00430BC5"/>
    <w:rsid w:val="0044035B"/>
    <w:rsid w:val="00443290"/>
    <w:rsid w:val="00443EFD"/>
    <w:rsid w:val="004477E6"/>
    <w:rsid w:val="004665DC"/>
    <w:rsid w:val="004676EC"/>
    <w:rsid w:val="004721D0"/>
    <w:rsid w:val="00472BBE"/>
    <w:rsid w:val="00473ECE"/>
    <w:rsid w:val="00482275"/>
    <w:rsid w:val="004822F1"/>
    <w:rsid w:val="00486295"/>
    <w:rsid w:val="0049044F"/>
    <w:rsid w:val="00497629"/>
    <w:rsid w:val="00497B83"/>
    <w:rsid w:val="004A284D"/>
    <w:rsid w:val="004B27F5"/>
    <w:rsid w:val="004D0FAC"/>
    <w:rsid w:val="004D2CCE"/>
    <w:rsid w:val="004E010F"/>
    <w:rsid w:val="004E05C9"/>
    <w:rsid w:val="004E630A"/>
    <w:rsid w:val="00502467"/>
    <w:rsid w:val="00506E05"/>
    <w:rsid w:val="00507F20"/>
    <w:rsid w:val="0051056E"/>
    <w:rsid w:val="0052067F"/>
    <w:rsid w:val="005207B5"/>
    <w:rsid w:val="005220A6"/>
    <w:rsid w:val="00522739"/>
    <w:rsid w:val="00531830"/>
    <w:rsid w:val="00532B48"/>
    <w:rsid w:val="00536301"/>
    <w:rsid w:val="00537A20"/>
    <w:rsid w:val="0054446E"/>
    <w:rsid w:val="0055243E"/>
    <w:rsid w:val="00554924"/>
    <w:rsid w:val="00563150"/>
    <w:rsid w:val="005635B0"/>
    <w:rsid w:val="005807D0"/>
    <w:rsid w:val="00587346"/>
    <w:rsid w:val="00591FE3"/>
    <w:rsid w:val="00594D42"/>
    <w:rsid w:val="005B0592"/>
    <w:rsid w:val="005C1E55"/>
    <w:rsid w:val="005C49F6"/>
    <w:rsid w:val="005D2EA1"/>
    <w:rsid w:val="005D4FBD"/>
    <w:rsid w:val="005D5A8D"/>
    <w:rsid w:val="005E1C5E"/>
    <w:rsid w:val="005E4E41"/>
    <w:rsid w:val="005E5EE5"/>
    <w:rsid w:val="005E6CA6"/>
    <w:rsid w:val="006036E7"/>
    <w:rsid w:val="006043EE"/>
    <w:rsid w:val="00611CD1"/>
    <w:rsid w:val="00632259"/>
    <w:rsid w:val="006470DB"/>
    <w:rsid w:val="0065304A"/>
    <w:rsid w:val="00663534"/>
    <w:rsid w:val="00666999"/>
    <w:rsid w:val="006678C3"/>
    <w:rsid w:val="00681A2F"/>
    <w:rsid w:val="006B0D29"/>
    <w:rsid w:val="006B740D"/>
    <w:rsid w:val="006D29B7"/>
    <w:rsid w:val="006D2B18"/>
    <w:rsid w:val="006D6B3C"/>
    <w:rsid w:val="006E12EB"/>
    <w:rsid w:val="006E614D"/>
    <w:rsid w:val="006F394D"/>
    <w:rsid w:val="0071423F"/>
    <w:rsid w:val="00714703"/>
    <w:rsid w:val="00715BA7"/>
    <w:rsid w:val="00721F39"/>
    <w:rsid w:val="00722DC9"/>
    <w:rsid w:val="007410C9"/>
    <w:rsid w:val="00744857"/>
    <w:rsid w:val="00745209"/>
    <w:rsid w:val="007521B3"/>
    <w:rsid w:val="007572FD"/>
    <w:rsid w:val="00763933"/>
    <w:rsid w:val="00777F05"/>
    <w:rsid w:val="0079122A"/>
    <w:rsid w:val="00793F2C"/>
    <w:rsid w:val="007C4032"/>
    <w:rsid w:val="007C589D"/>
    <w:rsid w:val="007D081E"/>
    <w:rsid w:val="007D5495"/>
    <w:rsid w:val="007D724F"/>
    <w:rsid w:val="007E6680"/>
    <w:rsid w:val="007E7986"/>
    <w:rsid w:val="007F3967"/>
    <w:rsid w:val="008044E5"/>
    <w:rsid w:val="00823F8F"/>
    <w:rsid w:val="008268B8"/>
    <w:rsid w:val="0083085A"/>
    <w:rsid w:val="00843D25"/>
    <w:rsid w:val="008571C8"/>
    <w:rsid w:val="00860A5B"/>
    <w:rsid w:val="0086125C"/>
    <w:rsid w:val="00873776"/>
    <w:rsid w:val="00874696"/>
    <w:rsid w:val="00876197"/>
    <w:rsid w:val="00893E4F"/>
    <w:rsid w:val="00894B25"/>
    <w:rsid w:val="008A37FE"/>
    <w:rsid w:val="008A58D2"/>
    <w:rsid w:val="008B1FD5"/>
    <w:rsid w:val="008B2210"/>
    <w:rsid w:val="008B774F"/>
    <w:rsid w:val="008C44C2"/>
    <w:rsid w:val="008C7AA6"/>
    <w:rsid w:val="008D0F63"/>
    <w:rsid w:val="008D26F2"/>
    <w:rsid w:val="008E47ED"/>
    <w:rsid w:val="008F5A86"/>
    <w:rsid w:val="00917AFE"/>
    <w:rsid w:val="00936D45"/>
    <w:rsid w:val="0094389F"/>
    <w:rsid w:val="00956C92"/>
    <w:rsid w:val="00964F66"/>
    <w:rsid w:val="0097018B"/>
    <w:rsid w:val="00975914"/>
    <w:rsid w:val="00996867"/>
    <w:rsid w:val="00997916"/>
    <w:rsid w:val="009A26DF"/>
    <w:rsid w:val="009A6D03"/>
    <w:rsid w:val="009E28A3"/>
    <w:rsid w:val="009E5739"/>
    <w:rsid w:val="009F19A6"/>
    <w:rsid w:val="009F1BA3"/>
    <w:rsid w:val="009F7F22"/>
    <w:rsid w:val="00A00C07"/>
    <w:rsid w:val="00A01C4D"/>
    <w:rsid w:val="00A03523"/>
    <w:rsid w:val="00A10D55"/>
    <w:rsid w:val="00A300AE"/>
    <w:rsid w:val="00A35431"/>
    <w:rsid w:val="00A37601"/>
    <w:rsid w:val="00A43EA1"/>
    <w:rsid w:val="00A5438E"/>
    <w:rsid w:val="00A61D2A"/>
    <w:rsid w:val="00A67A0C"/>
    <w:rsid w:val="00A875A8"/>
    <w:rsid w:val="00AA0B5E"/>
    <w:rsid w:val="00AA782A"/>
    <w:rsid w:val="00AB5901"/>
    <w:rsid w:val="00AB5910"/>
    <w:rsid w:val="00AC2331"/>
    <w:rsid w:val="00AC49EA"/>
    <w:rsid w:val="00AD74EE"/>
    <w:rsid w:val="00AE4C1C"/>
    <w:rsid w:val="00AF09B8"/>
    <w:rsid w:val="00AF5CDA"/>
    <w:rsid w:val="00AF7AA5"/>
    <w:rsid w:val="00B0139C"/>
    <w:rsid w:val="00B06BF4"/>
    <w:rsid w:val="00B30266"/>
    <w:rsid w:val="00B35876"/>
    <w:rsid w:val="00B37804"/>
    <w:rsid w:val="00B42D0E"/>
    <w:rsid w:val="00B475FF"/>
    <w:rsid w:val="00B5720E"/>
    <w:rsid w:val="00B75279"/>
    <w:rsid w:val="00B829C9"/>
    <w:rsid w:val="00BB2074"/>
    <w:rsid w:val="00BB7BEB"/>
    <w:rsid w:val="00BC123D"/>
    <w:rsid w:val="00BC4E9E"/>
    <w:rsid w:val="00BD4584"/>
    <w:rsid w:val="00BF70B5"/>
    <w:rsid w:val="00C13E90"/>
    <w:rsid w:val="00C3400D"/>
    <w:rsid w:val="00C73D0B"/>
    <w:rsid w:val="00C75F93"/>
    <w:rsid w:val="00C82F33"/>
    <w:rsid w:val="00C91CF3"/>
    <w:rsid w:val="00C92233"/>
    <w:rsid w:val="00C93BAA"/>
    <w:rsid w:val="00CA4950"/>
    <w:rsid w:val="00CA5AAC"/>
    <w:rsid w:val="00CB3BC0"/>
    <w:rsid w:val="00CB401E"/>
    <w:rsid w:val="00CB4388"/>
    <w:rsid w:val="00CB7F86"/>
    <w:rsid w:val="00CC307B"/>
    <w:rsid w:val="00CC687E"/>
    <w:rsid w:val="00CD105A"/>
    <w:rsid w:val="00CD4ED8"/>
    <w:rsid w:val="00CF1F3B"/>
    <w:rsid w:val="00CF767E"/>
    <w:rsid w:val="00D07FE6"/>
    <w:rsid w:val="00D1358A"/>
    <w:rsid w:val="00D2200D"/>
    <w:rsid w:val="00D22D7D"/>
    <w:rsid w:val="00D23A77"/>
    <w:rsid w:val="00D2441B"/>
    <w:rsid w:val="00D27778"/>
    <w:rsid w:val="00D30A1A"/>
    <w:rsid w:val="00D31187"/>
    <w:rsid w:val="00D4596E"/>
    <w:rsid w:val="00D574B6"/>
    <w:rsid w:val="00D64E02"/>
    <w:rsid w:val="00D662C8"/>
    <w:rsid w:val="00D85A28"/>
    <w:rsid w:val="00D86095"/>
    <w:rsid w:val="00D955E9"/>
    <w:rsid w:val="00D97566"/>
    <w:rsid w:val="00DA2AF1"/>
    <w:rsid w:val="00DA4980"/>
    <w:rsid w:val="00DA7ED4"/>
    <w:rsid w:val="00DB0BAC"/>
    <w:rsid w:val="00DB36E3"/>
    <w:rsid w:val="00DC1DBF"/>
    <w:rsid w:val="00DC25AE"/>
    <w:rsid w:val="00DC491E"/>
    <w:rsid w:val="00DF5FCD"/>
    <w:rsid w:val="00DF6F47"/>
    <w:rsid w:val="00E03E98"/>
    <w:rsid w:val="00E06C66"/>
    <w:rsid w:val="00E30C67"/>
    <w:rsid w:val="00E33134"/>
    <w:rsid w:val="00E34FCE"/>
    <w:rsid w:val="00E57B96"/>
    <w:rsid w:val="00E7105E"/>
    <w:rsid w:val="00E81397"/>
    <w:rsid w:val="00E858B6"/>
    <w:rsid w:val="00EA2F94"/>
    <w:rsid w:val="00EA3635"/>
    <w:rsid w:val="00EA471F"/>
    <w:rsid w:val="00EB03DC"/>
    <w:rsid w:val="00EB2318"/>
    <w:rsid w:val="00EB6211"/>
    <w:rsid w:val="00EC0DF6"/>
    <w:rsid w:val="00EC3E35"/>
    <w:rsid w:val="00EE3381"/>
    <w:rsid w:val="00EF7755"/>
    <w:rsid w:val="00F11DF9"/>
    <w:rsid w:val="00F23B6A"/>
    <w:rsid w:val="00F27D38"/>
    <w:rsid w:val="00F3360A"/>
    <w:rsid w:val="00F36290"/>
    <w:rsid w:val="00F36B4F"/>
    <w:rsid w:val="00F377E1"/>
    <w:rsid w:val="00F40697"/>
    <w:rsid w:val="00F40A5E"/>
    <w:rsid w:val="00F5284F"/>
    <w:rsid w:val="00F5590A"/>
    <w:rsid w:val="00F57702"/>
    <w:rsid w:val="00F76E8E"/>
    <w:rsid w:val="00F82485"/>
    <w:rsid w:val="00F90302"/>
    <w:rsid w:val="00F906F3"/>
    <w:rsid w:val="00F943A0"/>
    <w:rsid w:val="00F97F7B"/>
    <w:rsid w:val="00FB02C3"/>
    <w:rsid w:val="00FC4EC1"/>
    <w:rsid w:val="00FC671A"/>
    <w:rsid w:val="00FD1A23"/>
    <w:rsid w:val="00FE2B21"/>
    <w:rsid w:val="00FF68BD"/>
    <w:rsid w:val="00FF7AD6"/>
  </w:rsids>
  <m:mathPr>
    <m:mathFont m:val="Cambria Math"/>
  </m:mathPr>
  <w:themeFontLang w:val="en-US"/>
  <w:clrSchemeMapping w:bg1="light1" w:t1="dark1" w:bg2="light2" w:t2="dark2" w:accent1="accent1" w:accent2="accent2" w:accent3="accent3" w:accent4="accent4" w:accent5="accent5" w:accent6="accent6" w:hyperlink="hyperlink" w:followedHyperlink="followedHyperlink"/>
  <w15:chartTrackingRefBased/>
  <w15:docId w15:val="{FF3F3734-5D5E-4F8B-9623-BF5985E853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4E05C9"/>
    <w:rPr>
      <w:color w:val="0563C1" w:themeColor="hyperlink"/>
      <w:u w:val="single"/>
    </w:rPr>
  </w:style>
  <w:style w:type="paragraph" w:styleId="ListParagraph">
    <w:name w:val="List Paragraph"/>
    <w:basedOn w:val="Normal"/>
    <w:uiPriority w:val="34"/>
    <w:qFormat/>
    <w:rsid w:val="0094389F"/>
    <w:pPr>
      <w:ind w:left="720"/>
      <w:contextualSpacing/>
    </w:pPr>
  </w:style>
  <w:style w:type="table" w:customStyle="1" w:styleId="CDMRange1">
    <w:name w:val="CDM Range 1"/>
    <w:basedOn w:val="TableNormal"/>
    <w:next w:val="TableNormal"/>
    <w:semiHidden/>
    <w:pPr>
      <w:spacing w:after="0" w:line="240" w:lineRule="auto"/>
    </w:pPr>
    <w:rPr>
      <w:rFonts w:ascii="Times New Roman" w:eastAsia="Times New Roman" w:hAnsi="Times New Roman" w:cs="Times New Roman"/>
      <w:sz w:val="20"/>
      <w:szCs w:val="20"/>
    </w:rPr>
    <w:tblPr/>
  </w:style>
  <w:style w:type="table" w:customStyle="1" w:styleId="CDMRange2">
    <w:name w:val="CDM Range 2"/>
    <w:basedOn w:val="TableNormal"/>
    <w:next w:val="TableNormal"/>
    <w:semiHidden/>
    <w:pPr>
      <w:spacing w:after="0" w:line="240" w:lineRule="auto"/>
    </w:pPr>
    <w:rPr>
      <w:rFonts w:ascii="Times New Roman" w:eastAsia="Times New Roman" w:hAnsi="Times New Roman" w:cs="Times New Roman"/>
      <w:sz w:val="20"/>
      <w:szCs w:val="20"/>
    </w:rP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header" Target="header3.xml" /><Relationship Id="rId100" Type="http://schemas.openxmlformats.org/officeDocument/2006/relationships/header" Target="header48.xml" /><Relationship Id="rId101" Type="http://schemas.openxmlformats.org/officeDocument/2006/relationships/footer" Target="footer48.xml" /><Relationship Id="rId102" Type="http://schemas.openxmlformats.org/officeDocument/2006/relationships/header" Target="header49.xml" /><Relationship Id="rId103" Type="http://schemas.openxmlformats.org/officeDocument/2006/relationships/header" Target="header50.xml" /><Relationship Id="rId104" Type="http://schemas.openxmlformats.org/officeDocument/2006/relationships/footer" Target="footer49.xml" /><Relationship Id="rId105" Type="http://schemas.openxmlformats.org/officeDocument/2006/relationships/footer" Target="footer50.xml" /><Relationship Id="rId106" Type="http://schemas.openxmlformats.org/officeDocument/2006/relationships/header" Target="header51.xml" /><Relationship Id="rId107" Type="http://schemas.openxmlformats.org/officeDocument/2006/relationships/footer" Target="footer51.xml" /><Relationship Id="rId108" Type="http://schemas.openxmlformats.org/officeDocument/2006/relationships/header" Target="header52.xml" /><Relationship Id="rId109" Type="http://schemas.openxmlformats.org/officeDocument/2006/relationships/header" Target="header53.xml" /><Relationship Id="rId11" Type="http://schemas.openxmlformats.org/officeDocument/2006/relationships/footer" Target="footer3.xml" /><Relationship Id="rId110" Type="http://schemas.openxmlformats.org/officeDocument/2006/relationships/footer" Target="footer52.xml" /><Relationship Id="rId111" Type="http://schemas.openxmlformats.org/officeDocument/2006/relationships/footer" Target="footer53.xml" /><Relationship Id="rId112" Type="http://schemas.openxmlformats.org/officeDocument/2006/relationships/header" Target="header54.xml" /><Relationship Id="rId113" Type="http://schemas.openxmlformats.org/officeDocument/2006/relationships/footer" Target="footer54.xml" /><Relationship Id="rId114" Type="http://schemas.openxmlformats.org/officeDocument/2006/relationships/header" Target="header55.xml" /><Relationship Id="rId115" Type="http://schemas.openxmlformats.org/officeDocument/2006/relationships/header" Target="header56.xml" /><Relationship Id="rId116" Type="http://schemas.openxmlformats.org/officeDocument/2006/relationships/footer" Target="footer55.xml" /><Relationship Id="rId117" Type="http://schemas.openxmlformats.org/officeDocument/2006/relationships/footer" Target="footer56.xml" /><Relationship Id="rId118" Type="http://schemas.openxmlformats.org/officeDocument/2006/relationships/header" Target="header57.xml" /><Relationship Id="rId119" Type="http://schemas.openxmlformats.org/officeDocument/2006/relationships/footer" Target="footer57.xml" /><Relationship Id="rId12" Type="http://schemas.openxmlformats.org/officeDocument/2006/relationships/header" Target="header4.xml" /><Relationship Id="rId120" Type="http://schemas.openxmlformats.org/officeDocument/2006/relationships/header" Target="header58.xml" /><Relationship Id="rId121" Type="http://schemas.openxmlformats.org/officeDocument/2006/relationships/header" Target="header59.xml" /><Relationship Id="rId122" Type="http://schemas.openxmlformats.org/officeDocument/2006/relationships/footer" Target="footer58.xml" /><Relationship Id="rId123" Type="http://schemas.openxmlformats.org/officeDocument/2006/relationships/footer" Target="footer59.xml" /><Relationship Id="rId124" Type="http://schemas.openxmlformats.org/officeDocument/2006/relationships/header" Target="header60.xml" /><Relationship Id="rId125" Type="http://schemas.openxmlformats.org/officeDocument/2006/relationships/footer" Target="footer60.xml" /><Relationship Id="rId126" Type="http://schemas.openxmlformats.org/officeDocument/2006/relationships/header" Target="header61.xml" /><Relationship Id="rId127" Type="http://schemas.openxmlformats.org/officeDocument/2006/relationships/header" Target="header62.xml" /><Relationship Id="rId128" Type="http://schemas.openxmlformats.org/officeDocument/2006/relationships/footer" Target="footer61.xml" /><Relationship Id="rId129" Type="http://schemas.openxmlformats.org/officeDocument/2006/relationships/footer" Target="footer62.xml" /><Relationship Id="rId13" Type="http://schemas.openxmlformats.org/officeDocument/2006/relationships/header" Target="header5.xml" /><Relationship Id="rId130" Type="http://schemas.openxmlformats.org/officeDocument/2006/relationships/header" Target="header63.xml" /><Relationship Id="rId131" Type="http://schemas.openxmlformats.org/officeDocument/2006/relationships/footer" Target="footer63.xml" /><Relationship Id="rId132" Type="http://schemas.openxmlformats.org/officeDocument/2006/relationships/header" Target="header64.xml" /><Relationship Id="rId133" Type="http://schemas.openxmlformats.org/officeDocument/2006/relationships/header" Target="header65.xml" /><Relationship Id="rId134" Type="http://schemas.openxmlformats.org/officeDocument/2006/relationships/footer" Target="footer64.xml" /><Relationship Id="rId135" Type="http://schemas.openxmlformats.org/officeDocument/2006/relationships/footer" Target="footer65.xml" /><Relationship Id="rId136" Type="http://schemas.openxmlformats.org/officeDocument/2006/relationships/header" Target="header66.xml" /><Relationship Id="rId137" Type="http://schemas.openxmlformats.org/officeDocument/2006/relationships/footer" Target="footer66.xml" /><Relationship Id="rId138" Type="http://schemas.openxmlformats.org/officeDocument/2006/relationships/header" Target="header67.xml" /><Relationship Id="rId139" Type="http://schemas.openxmlformats.org/officeDocument/2006/relationships/header" Target="header68.xml" /><Relationship Id="rId14" Type="http://schemas.openxmlformats.org/officeDocument/2006/relationships/footer" Target="footer4.xml" /><Relationship Id="rId140" Type="http://schemas.openxmlformats.org/officeDocument/2006/relationships/footer" Target="footer67.xml" /><Relationship Id="rId141" Type="http://schemas.openxmlformats.org/officeDocument/2006/relationships/footer" Target="footer68.xml" /><Relationship Id="rId142" Type="http://schemas.openxmlformats.org/officeDocument/2006/relationships/header" Target="header69.xml" /><Relationship Id="rId143" Type="http://schemas.openxmlformats.org/officeDocument/2006/relationships/footer" Target="footer69.xml" /><Relationship Id="rId144" Type="http://schemas.openxmlformats.org/officeDocument/2006/relationships/header" Target="header70.xml" /><Relationship Id="rId145" Type="http://schemas.openxmlformats.org/officeDocument/2006/relationships/header" Target="header71.xml" /><Relationship Id="rId146" Type="http://schemas.openxmlformats.org/officeDocument/2006/relationships/footer" Target="footer70.xml" /><Relationship Id="rId147" Type="http://schemas.openxmlformats.org/officeDocument/2006/relationships/footer" Target="footer71.xml" /><Relationship Id="rId148" Type="http://schemas.openxmlformats.org/officeDocument/2006/relationships/header" Target="header72.xml" /><Relationship Id="rId149" Type="http://schemas.openxmlformats.org/officeDocument/2006/relationships/footer" Target="footer72.xml" /><Relationship Id="rId15" Type="http://schemas.openxmlformats.org/officeDocument/2006/relationships/footer" Target="footer5.xml" /><Relationship Id="rId150" Type="http://schemas.openxmlformats.org/officeDocument/2006/relationships/header" Target="header73.xml" /><Relationship Id="rId151" Type="http://schemas.openxmlformats.org/officeDocument/2006/relationships/header" Target="header74.xml" /><Relationship Id="rId152" Type="http://schemas.openxmlformats.org/officeDocument/2006/relationships/footer" Target="footer73.xml" /><Relationship Id="rId153" Type="http://schemas.openxmlformats.org/officeDocument/2006/relationships/footer" Target="footer74.xml" /><Relationship Id="rId154" Type="http://schemas.openxmlformats.org/officeDocument/2006/relationships/header" Target="header75.xml" /><Relationship Id="rId155" Type="http://schemas.openxmlformats.org/officeDocument/2006/relationships/footer" Target="footer75.xml" /><Relationship Id="rId156" Type="http://schemas.openxmlformats.org/officeDocument/2006/relationships/header" Target="header76.xml" /><Relationship Id="rId157" Type="http://schemas.openxmlformats.org/officeDocument/2006/relationships/header" Target="header77.xml" /><Relationship Id="rId158" Type="http://schemas.openxmlformats.org/officeDocument/2006/relationships/footer" Target="footer76.xml" /><Relationship Id="rId159" Type="http://schemas.openxmlformats.org/officeDocument/2006/relationships/footer" Target="footer77.xml" /><Relationship Id="rId16" Type="http://schemas.openxmlformats.org/officeDocument/2006/relationships/header" Target="header6.xml" /><Relationship Id="rId160" Type="http://schemas.openxmlformats.org/officeDocument/2006/relationships/header" Target="header78.xml" /><Relationship Id="rId161" Type="http://schemas.openxmlformats.org/officeDocument/2006/relationships/footer" Target="footer78.xml" /><Relationship Id="rId162" Type="http://schemas.openxmlformats.org/officeDocument/2006/relationships/header" Target="header79.xml" /><Relationship Id="rId163" Type="http://schemas.openxmlformats.org/officeDocument/2006/relationships/header" Target="header80.xml" /><Relationship Id="rId164" Type="http://schemas.openxmlformats.org/officeDocument/2006/relationships/footer" Target="footer79.xml" /><Relationship Id="rId165" Type="http://schemas.openxmlformats.org/officeDocument/2006/relationships/footer" Target="footer80.xml" /><Relationship Id="rId166" Type="http://schemas.openxmlformats.org/officeDocument/2006/relationships/header" Target="header81.xml" /><Relationship Id="rId167" Type="http://schemas.openxmlformats.org/officeDocument/2006/relationships/footer" Target="footer81.xml" /><Relationship Id="rId168" Type="http://schemas.openxmlformats.org/officeDocument/2006/relationships/header" Target="header82.xml" /><Relationship Id="rId169" Type="http://schemas.openxmlformats.org/officeDocument/2006/relationships/header" Target="header83.xml" /><Relationship Id="rId17" Type="http://schemas.openxmlformats.org/officeDocument/2006/relationships/footer" Target="footer6.xml" /><Relationship Id="rId170" Type="http://schemas.openxmlformats.org/officeDocument/2006/relationships/footer" Target="footer82.xml" /><Relationship Id="rId171" Type="http://schemas.openxmlformats.org/officeDocument/2006/relationships/footer" Target="footer83.xml" /><Relationship Id="rId172" Type="http://schemas.openxmlformats.org/officeDocument/2006/relationships/header" Target="header84.xml" /><Relationship Id="rId173" Type="http://schemas.openxmlformats.org/officeDocument/2006/relationships/footer" Target="footer84.xml" /><Relationship Id="rId174" Type="http://schemas.openxmlformats.org/officeDocument/2006/relationships/header" Target="header85.xml" /><Relationship Id="rId175" Type="http://schemas.openxmlformats.org/officeDocument/2006/relationships/header" Target="header86.xml" /><Relationship Id="rId176" Type="http://schemas.openxmlformats.org/officeDocument/2006/relationships/footer" Target="footer85.xml" /><Relationship Id="rId177" Type="http://schemas.openxmlformats.org/officeDocument/2006/relationships/footer" Target="footer86.xml" /><Relationship Id="rId178" Type="http://schemas.openxmlformats.org/officeDocument/2006/relationships/header" Target="header87.xml" /><Relationship Id="rId179" Type="http://schemas.openxmlformats.org/officeDocument/2006/relationships/footer" Target="footer87.xml" /><Relationship Id="rId18" Type="http://schemas.openxmlformats.org/officeDocument/2006/relationships/header" Target="header7.xml" /><Relationship Id="rId180" Type="http://schemas.openxmlformats.org/officeDocument/2006/relationships/header" Target="header88.xml" /><Relationship Id="rId181" Type="http://schemas.openxmlformats.org/officeDocument/2006/relationships/header" Target="header89.xml" /><Relationship Id="rId182" Type="http://schemas.openxmlformats.org/officeDocument/2006/relationships/footer" Target="footer88.xml" /><Relationship Id="rId183" Type="http://schemas.openxmlformats.org/officeDocument/2006/relationships/footer" Target="footer89.xml" /><Relationship Id="rId184" Type="http://schemas.openxmlformats.org/officeDocument/2006/relationships/header" Target="header90.xml" /><Relationship Id="rId185" Type="http://schemas.openxmlformats.org/officeDocument/2006/relationships/footer" Target="footer90.xml" /><Relationship Id="rId186" Type="http://schemas.openxmlformats.org/officeDocument/2006/relationships/header" Target="header91.xml" /><Relationship Id="rId187" Type="http://schemas.openxmlformats.org/officeDocument/2006/relationships/header" Target="header92.xml" /><Relationship Id="rId188" Type="http://schemas.openxmlformats.org/officeDocument/2006/relationships/footer" Target="footer91.xml" /><Relationship Id="rId189" Type="http://schemas.openxmlformats.org/officeDocument/2006/relationships/footer" Target="footer92.xml" /><Relationship Id="rId19" Type="http://schemas.openxmlformats.org/officeDocument/2006/relationships/header" Target="header8.xml" /><Relationship Id="rId190" Type="http://schemas.openxmlformats.org/officeDocument/2006/relationships/header" Target="header93.xml" /><Relationship Id="rId191" Type="http://schemas.openxmlformats.org/officeDocument/2006/relationships/footer" Target="footer93.xml" /><Relationship Id="rId192" Type="http://schemas.openxmlformats.org/officeDocument/2006/relationships/header" Target="header94.xml" /><Relationship Id="rId193" Type="http://schemas.openxmlformats.org/officeDocument/2006/relationships/header" Target="header95.xml" /><Relationship Id="rId194" Type="http://schemas.openxmlformats.org/officeDocument/2006/relationships/footer" Target="footer94.xml" /><Relationship Id="rId195" Type="http://schemas.openxmlformats.org/officeDocument/2006/relationships/footer" Target="footer95.xml" /><Relationship Id="rId196" Type="http://schemas.openxmlformats.org/officeDocument/2006/relationships/header" Target="header96.xml" /><Relationship Id="rId197" Type="http://schemas.openxmlformats.org/officeDocument/2006/relationships/footer" Target="footer96.xml" /><Relationship Id="rId198" Type="http://schemas.openxmlformats.org/officeDocument/2006/relationships/header" Target="header97.xml" /><Relationship Id="rId199" Type="http://schemas.openxmlformats.org/officeDocument/2006/relationships/header" Target="header98.xml" /><Relationship Id="rId2" Type="http://schemas.openxmlformats.org/officeDocument/2006/relationships/webSettings" Target="webSettings.xml" /><Relationship Id="rId20" Type="http://schemas.openxmlformats.org/officeDocument/2006/relationships/footer" Target="footer7.xml" /><Relationship Id="rId200" Type="http://schemas.openxmlformats.org/officeDocument/2006/relationships/footer" Target="footer97.xml" /><Relationship Id="rId201" Type="http://schemas.openxmlformats.org/officeDocument/2006/relationships/footer" Target="footer98.xml" /><Relationship Id="rId202" Type="http://schemas.openxmlformats.org/officeDocument/2006/relationships/header" Target="header99.xml" /><Relationship Id="rId203" Type="http://schemas.openxmlformats.org/officeDocument/2006/relationships/footer" Target="footer99.xml" /><Relationship Id="rId204" Type="http://schemas.openxmlformats.org/officeDocument/2006/relationships/header" Target="header100.xml" /><Relationship Id="rId205" Type="http://schemas.openxmlformats.org/officeDocument/2006/relationships/header" Target="header101.xml" /><Relationship Id="rId206" Type="http://schemas.openxmlformats.org/officeDocument/2006/relationships/footer" Target="footer100.xml" /><Relationship Id="rId207" Type="http://schemas.openxmlformats.org/officeDocument/2006/relationships/footer" Target="footer101.xml" /><Relationship Id="rId208" Type="http://schemas.openxmlformats.org/officeDocument/2006/relationships/header" Target="header102.xml" /><Relationship Id="rId209" Type="http://schemas.openxmlformats.org/officeDocument/2006/relationships/footer" Target="footer102.xml" /><Relationship Id="rId21" Type="http://schemas.openxmlformats.org/officeDocument/2006/relationships/footer" Target="footer8.xml" /><Relationship Id="rId210" Type="http://schemas.openxmlformats.org/officeDocument/2006/relationships/header" Target="header103.xml" /><Relationship Id="rId211" Type="http://schemas.openxmlformats.org/officeDocument/2006/relationships/header" Target="header104.xml" /><Relationship Id="rId212" Type="http://schemas.openxmlformats.org/officeDocument/2006/relationships/footer" Target="footer103.xml" /><Relationship Id="rId213" Type="http://schemas.openxmlformats.org/officeDocument/2006/relationships/footer" Target="footer104.xml" /><Relationship Id="rId214" Type="http://schemas.openxmlformats.org/officeDocument/2006/relationships/header" Target="header105.xml" /><Relationship Id="rId215" Type="http://schemas.openxmlformats.org/officeDocument/2006/relationships/footer" Target="footer105.xml" /><Relationship Id="rId216" Type="http://schemas.openxmlformats.org/officeDocument/2006/relationships/header" Target="header106.xml" /><Relationship Id="rId217" Type="http://schemas.openxmlformats.org/officeDocument/2006/relationships/header" Target="header107.xml" /><Relationship Id="rId218" Type="http://schemas.openxmlformats.org/officeDocument/2006/relationships/footer" Target="footer106.xml" /><Relationship Id="rId219" Type="http://schemas.openxmlformats.org/officeDocument/2006/relationships/footer" Target="footer107.xml" /><Relationship Id="rId22" Type="http://schemas.openxmlformats.org/officeDocument/2006/relationships/header" Target="header9.xml" /><Relationship Id="rId220" Type="http://schemas.openxmlformats.org/officeDocument/2006/relationships/header" Target="header108.xml" /><Relationship Id="rId221" Type="http://schemas.openxmlformats.org/officeDocument/2006/relationships/footer" Target="footer108.xml" /><Relationship Id="rId222" Type="http://schemas.openxmlformats.org/officeDocument/2006/relationships/image" Target="media/image2.jpeg" /><Relationship Id="rId223" Type="http://schemas.openxmlformats.org/officeDocument/2006/relationships/image" Target="media/image3.jpeg" /><Relationship Id="rId224" Type="http://schemas.openxmlformats.org/officeDocument/2006/relationships/image" Target="media/image4.jpeg" /><Relationship Id="rId225" Type="http://schemas.openxmlformats.org/officeDocument/2006/relationships/image" Target="media/image5.jpeg" /><Relationship Id="rId226" Type="http://schemas.openxmlformats.org/officeDocument/2006/relationships/image" Target="media/image6.jpeg" /><Relationship Id="rId227" Type="http://schemas.openxmlformats.org/officeDocument/2006/relationships/image" Target="media/image7.jpeg" /><Relationship Id="rId228" Type="http://schemas.openxmlformats.org/officeDocument/2006/relationships/image" Target="media/image8.jpeg" /><Relationship Id="rId229" Type="http://schemas.openxmlformats.org/officeDocument/2006/relationships/image" Target="media/image9.jpeg" /><Relationship Id="rId23" Type="http://schemas.openxmlformats.org/officeDocument/2006/relationships/footer" Target="footer9.xml" /><Relationship Id="rId230" Type="http://schemas.openxmlformats.org/officeDocument/2006/relationships/image" Target="media/image10.jpeg" /><Relationship Id="rId231" Type="http://schemas.openxmlformats.org/officeDocument/2006/relationships/image" Target="media/image11.jpeg" /><Relationship Id="rId232" Type="http://schemas.openxmlformats.org/officeDocument/2006/relationships/image" Target="media/image12.jpeg" /><Relationship Id="rId233" Type="http://schemas.openxmlformats.org/officeDocument/2006/relationships/header" Target="header109.xml" /><Relationship Id="rId234" Type="http://schemas.openxmlformats.org/officeDocument/2006/relationships/header" Target="header110.xml" /><Relationship Id="rId235" Type="http://schemas.openxmlformats.org/officeDocument/2006/relationships/footer" Target="footer109.xml" /><Relationship Id="rId236" Type="http://schemas.openxmlformats.org/officeDocument/2006/relationships/footer" Target="footer110.xml" /><Relationship Id="rId237" Type="http://schemas.openxmlformats.org/officeDocument/2006/relationships/header" Target="header111.xml" /><Relationship Id="rId238" Type="http://schemas.openxmlformats.org/officeDocument/2006/relationships/footer" Target="footer111.xml" /><Relationship Id="rId239" Type="http://schemas.openxmlformats.org/officeDocument/2006/relationships/theme" Target="theme/theme1.xml" /><Relationship Id="rId24" Type="http://schemas.openxmlformats.org/officeDocument/2006/relationships/header" Target="header10.xml" /><Relationship Id="rId240" Type="http://schemas.openxmlformats.org/officeDocument/2006/relationships/numbering" Target="numbering.xml" /><Relationship Id="rId241" Type="http://schemas.openxmlformats.org/officeDocument/2006/relationships/styles" Target="styles.xml" /><Relationship Id="rId25" Type="http://schemas.openxmlformats.org/officeDocument/2006/relationships/header" Target="header11.xml" /><Relationship Id="rId26" Type="http://schemas.openxmlformats.org/officeDocument/2006/relationships/footer" Target="footer10.xml" /><Relationship Id="rId27" Type="http://schemas.openxmlformats.org/officeDocument/2006/relationships/footer" Target="footer11.xml" /><Relationship Id="rId28" Type="http://schemas.openxmlformats.org/officeDocument/2006/relationships/header" Target="header12.xml" /><Relationship Id="rId29" Type="http://schemas.openxmlformats.org/officeDocument/2006/relationships/footer" Target="footer12.xml" /><Relationship Id="rId3" Type="http://schemas.openxmlformats.org/officeDocument/2006/relationships/fontTable" Target="fontTable.xml" /><Relationship Id="rId30" Type="http://schemas.openxmlformats.org/officeDocument/2006/relationships/header" Target="header13.xml" /><Relationship Id="rId31" Type="http://schemas.openxmlformats.org/officeDocument/2006/relationships/header" Target="header14.xml" /><Relationship Id="rId32" Type="http://schemas.openxmlformats.org/officeDocument/2006/relationships/footer" Target="footer13.xml" /><Relationship Id="rId33" Type="http://schemas.openxmlformats.org/officeDocument/2006/relationships/footer" Target="footer14.xml" /><Relationship Id="rId34" Type="http://schemas.openxmlformats.org/officeDocument/2006/relationships/header" Target="header15.xml" /><Relationship Id="rId35" Type="http://schemas.openxmlformats.org/officeDocument/2006/relationships/footer" Target="footer15.xml" /><Relationship Id="rId36" Type="http://schemas.openxmlformats.org/officeDocument/2006/relationships/header" Target="header16.xml" /><Relationship Id="rId37" Type="http://schemas.openxmlformats.org/officeDocument/2006/relationships/header" Target="header17.xml" /><Relationship Id="rId38" Type="http://schemas.openxmlformats.org/officeDocument/2006/relationships/footer" Target="footer16.xml" /><Relationship Id="rId39" Type="http://schemas.openxmlformats.org/officeDocument/2006/relationships/footer" Target="footer17.xml" /><Relationship Id="rId4" Type="http://schemas.openxmlformats.org/officeDocument/2006/relationships/customXml" Target="../customXml/item1.xml" /><Relationship Id="rId40" Type="http://schemas.openxmlformats.org/officeDocument/2006/relationships/header" Target="header18.xml" /><Relationship Id="rId41" Type="http://schemas.openxmlformats.org/officeDocument/2006/relationships/footer" Target="footer18.xml" /><Relationship Id="rId42" Type="http://schemas.openxmlformats.org/officeDocument/2006/relationships/header" Target="header19.xml" /><Relationship Id="rId43" Type="http://schemas.openxmlformats.org/officeDocument/2006/relationships/header" Target="header20.xml" /><Relationship Id="rId44" Type="http://schemas.openxmlformats.org/officeDocument/2006/relationships/footer" Target="footer19.xml" /><Relationship Id="rId45" Type="http://schemas.openxmlformats.org/officeDocument/2006/relationships/footer" Target="footer20.xml" /><Relationship Id="rId46" Type="http://schemas.openxmlformats.org/officeDocument/2006/relationships/header" Target="header21.xml" /><Relationship Id="rId47" Type="http://schemas.openxmlformats.org/officeDocument/2006/relationships/footer" Target="footer21.xml" /><Relationship Id="rId48" Type="http://schemas.openxmlformats.org/officeDocument/2006/relationships/header" Target="header22.xml" /><Relationship Id="rId49" Type="http://schemas.openxmlformats.org/officeDocument/2006/relationships/header" Target="header23.xml" /><Relationship Id="rId5" Type="http://schemas.openxmlformats.org/officeDocument/2006/relationships/image" Target="media/image1.jpeg" /><Relationship Id="rId50" Type="http://schemas.openxmlformats.org/officeDocument/2006/relationships/footer" Target="footer22.xml" /><Relationship Id="rId51" Type="http://schemas.openxmlformats.org/officeDocument/2006/relationships/footer" Target="footer23.xml" /><Relationship Id="rId52" Type="http://schemas.openxmlformats.org/officeDocument/2006/relationships/header" Target="header24.xml" /><Relationship Id="rId53" Type="http://schemas.openxmlformats.org/officeDocument/2006/relationships/footer" Target="footer24.xml" /><Relationship Id="rId54" Type="http://schemas.openxmlformats.org/officeDocument/2006/relationships/header" Target="header25.xml" /><Relationship Id="rId55" Type="http://schemas.openxmlformats.org/officeDocument/2006/relationships/header" Target="header26.xml" /><Relationship Id="rId56" Type="http://schemas.openxmlformats.org/officeDocument/2006/relationships/footer" Target="footer25.xml" /><Relationship Id="rId57" Type="http://schemas.openxmlformats.org/officeDocument/2006/relationships/footer" Target="footer26.xml" /><Relationship Id="rId58" Type="http://schemas.openxmlformats.org/officeDocument/2006/relationships/header" Target="header27.xml" /><Relationship Id="rId59" Type="http://schemas.openxmlformats.org/officeDocument/2006/relationships/footer" Target="footer27.xml" /><Relationship Id="rId6" Type="http://schemas.openxmlformats.org/officeDocument/2006/relationships/header" Target="header1.xml" /><Relationship Id="rId60" Type="http://schemas.openxmlformats.org/officeDocument/2006/relationships/header" Target="header28.xml" /><Relationship Id="rId61" Type="http://schemas.openxmlformats.org/officeDocument/2006/relationships/header" Target="header29.xml" /><Relationship Id="rId62" Type="http://schemas.openxmlformats.org/officeDocument/2006/relationships/footer" Target="footer28.xml" /><Relationship Id="rId63" Type="http://schemas.openxmlformats.org/officeDocument/2006/relationships/footer" Target="footer29.xml" /><Relationship Id="rId64" Type="http://schemas.openxmlformats.org/officeDocument/2006/relationships/header" Target="header30.xml" /><Relationship Id="rId65" Type="http://schemas.openxmlformats.org/officeDocument/2006/relationships/footer" Target="footer30.xml" /><Relationship Id="rId66" Type="http://schemas.openxmlformats.org/officeDocument/2006/relationships/header" Target="header31.xml" /><Relationship Id="rId67" Type="http://schemas.openxmlformats.org/officeDocument/2006/relationships/header" Target="header32.xml" /><Relationship Id="rId68" Type="http://schemas.openxmlformats.org/officeDocument/2006/relationships/footer" Target="footer31.xml" /><Relationship Id="rId69" Type="http://schemas.openxmlformats.org/officeDocument/2006/relationships/footer" Target="footer32.xml" /><Relationship Id="rId7" Type="http://schemas.openxmlformats.org/officeDocument/2006/relationships/header" Target="header2.xml" /><Relationship Id="rId70" Type="http://schemas.openxmlformats.org/officeDocument/2006/relationships/header" Target="header33.xml" /><Relationship Id="rId71" Type="http://schemas.openxmlformats.org/officeDocument/2006/relationships/footer" Target="footer33.xml" /><Relationship Id="rId72" Type="http://schemas.openxmlformats.org/officeDocument/2006/relationships/header" Target="header34.xml" /><Relationship Id="rId73" Type="http://schemas.openxmlformats.org/officeDocument/2006/relationships/header" Target="header35.xml" /><Relationship Id="rId74" Type="http://schemas.openxmlformats.org/officeDocument/2006/relationships/footer" Target="footer34.xml" /><Relationship Id="rId75" Type="http://schemas.openxmlformats.org/officeDocument/2006/relationships/footer" Target="footer35.xml" /><Relationship Id="rId76" Type="http://schemas.openxmlformats.org/officeDocument/2006/relationships/header" Target="header36.xml" /><Relationship Id="rId77" Type="http://schemas.openxmlformats.org/officeDocument/2006/relationships/footer" Target="footer36.xml" /><Relationship Id="rId78" Type="http://schemas.openxmlformats.org/officeDocument/2006/relationships/header" Target="header37.xml" /><Relationship Id="rId79" Type="http://schemas.openxmlformats.org/officeDocument/2006/relationships/header" Target="header38.xml" /><Relationship Id="rId8" Type="http://schemas.openxmlformats.org/officeDocument/2006/relationships/footer" Target="footer1.xml" /><Relationship Id="rId80" Type="http://schemas.openxmlformats.org/officeDocument/2006/relationships/footer" Target="footer37.xml" /><Relationship Id="rId81" Type="http://schemas.openxmlformats.org/officeDocument/2006/relationships/footer" Target="footer38.xml" /><Relationship Id="rId82" Type="http://schemas.openxmlformats.org/officeDocument/2006/relationships/header" Target="header39.xml" /><Relationship Id="rId83" Type="http://schemas.openxmlformats.org/officeDocument/2006/relationships/footer" Target="footer39.xml" /><Relationship Id="rId84" Type="http://schemas.openxmlformats.org/officeDocument/2006/relationships/header" Target="header40.xml" /><Relationship Id="rId85" Type="http://schemas.openxmlformats.org/officeDocument/2006/relationships/header" Target="header41.xml" /><Relationship Id="rId86" Type="http://schemas.openxmlformats.org/officeDocument/2006/relationships/footer" Target="footer40.xml" /><Relationship Id="rId87" Type="http://schemas.openxmlformats.org/officeDocument/2006/relationships/footer" Target="footer41.xml" /><Relationship Id="rId88" Type="http://schemas.openxmlformats.org/officeDocument/2006/relationships/header" Target="header42.xml" /><Relationship Id="rId89" Type="http://schemas.openxmlformats.org/officeDocument/2006/relationships/footer" Target="footer42.xml" /><Relationship Id="rId9" Type="http://schemas.openxmlformats.org/officeDocument/2006/relationships/footer" Target="footer2.xml" /><Relationship Id="rId90" Type="http://schemas.openxmlformats.org/officeDocument/2006/relationships/header" Target="header43.xml" /><Relationship Id="rId91" Type="http://schemas.openxmlformats.org/officeDocument/2006/relationships/header" Target="header44.xml" /><Relationship Id="rId92" Type="http://schemas.openxmlformats.org/officeDocument/2006/relationships/footer" Target="footer43.xml" /><Relationship Id="rId93" Type="http://schemas.openxmlformats.org/officeDocument/2006/relationships/footer" Target="footer44.xml" /><Relationship Id="rId94" Type="http://schemas.openxmlformats.org/officeDocument/2006/relationships/header" Target="header45.xml" /><Relationship Id="rId95" Type="http://schemas.openxmlformats.org/officeDocument/2006/relationships/footer" Target="footer45.xml" /><Relationship Id="rId96" Type="http://schemas.openxmlformats.org/officeDocument/2006/relationships/header" Target="header46.xml" /><Relationship Id="rId97" Type="http://schemas.openxmlformats.org/officeDocument/2006/relationships/header" Target="header47.xml" /><Relationship Id="rId98" Type="http://schemas.openxmlformats.org/officeDocument/2006/relationships/footer" Target="footer46.xml" /><Relationship Id="rId99" Type="http://schemas.openxmlformats.org/officeDocument/2006/relationships/footer" Target="footer47.xm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ContentControlRegistry xmlns="cdm://schemas.certent.com/registry/content-control">
  <Registrations>
    <Registration>
      <Id>676c1490-74d0-477e-8b03-03d1f6a08d56</Id>
      <Name>XBRL_CS_32dd74b105dc4212aeb943787318ca7a</Name>
    </Registration>
    <Registration>
      <Id>c2a00880-437b-4df6-950e-c409a47afafc</Id>
      <Name>XBRL_CS_20d93ce857114f379e35115824fedd57</Name>
    </Registration>
  </Registrations>
</ContentControlRegistry>
</file>

<file path=customXml/itemProps1.xml><?xml version="1.0" encoding="utf-8"?>
<ds:datastoreItem xmlns:ds="http://schemas.openxmlformats.org/officeDocument/2006/customXml" ds:itemID="{6970BC1C-80A0-424D-8A11-04AC650C2F0E}">
  <ds:schemaRefs>
    <ds:schemaRef ds:uri="cdm://schemas.certent.com/registry/content-control"/>
  </ds:schemaRefs>
</ds:datastoreItem>
</file>

<file path=docProps/app.xml><?xml version="1.0" encoding="utf-8"?>
<Properties xmlns="http://schemas.openxmlformats.org/officeDocument/2006/extended-properties" xmlns:vt="http://schemas.openxmlformats.org/officeDocument/2006/docPropsVTypes">
  <Template>Normal.dotm</Template>
  <TotalTime>143</TotalTime>
  <Pages>104</Pages>
  <Words>34798</Words>
  <Characters>231663</Characters>
  <Application>Microsoft Office Word</Application>
  <DocSecurity>0</DocSecurity>
  <Lines>1</Lines>
  <Paragraphs>5302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267310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Catalin Sandulache</cp:lastModifiedBy>
  <cp:revision>16</cp:revision>
  <dcterms:created xsi:type="dcterms:W3CDTF">2018-10-29T15:56:00Z</dcterms:created>
  <dcterms:modified xsi:type="dcterms:W3CDTF">2022-04-29T07:07:00Z</dcterms:modified>
</cp:coreProperties>
</file>